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1F5" w:rsidRDefault="0014376F">
      <w:pPr>
        <w:rPr>
          <w:b/>
        </w:rPr>
      </w:pPr>
      <w:r>
        <w:rPr>
          <w:b/>
        </w:rPr>
        <w:t xml:space="preserve">Systematic review – additional information. </w:t>
      </w:r>
    </w:p>
    <w:p w:rsidR="00180F9F" w:rsidRDefault="00180F9F"/>
    <w:p w:rsidR="00180F9F" w:rsidRPr="00ED1012" w:rsidRDefault="00180F9F">
      <w:pPr>
        <w:rPr>
          <w:b/>
          <w:bCs/>
        </w:rPr>
      </w:pPr>
      <w:r w:rsidRPr="00ED1012">
        <w:rPr>
          <w:b/>
          <w:bCs/>
        </w:rPr>
        <w:t>Methods</w:t>
      </w:r>
    </w:p>
    <w:p w:rsidR="008A11F5" w:rsidRDefault="00237FBD">
      <w:r>
        <w:t>A systematic review was conducted independently by two Authors (C.V. and A.C.). PubMed, Embase and Cochrane databases were searched for studies measuring the efficacy of ertapenem in preventing SSIs following colorectal procedures. Randomized controlled trials, case-control and cohort studies, as well as systematic reviews published through April 30</w:t>
      </w:r>
      <w:r>
        <w:rPr>
          <w:vertAlign w:val="superscript"/>
        </w:rPr>
        <w:t>th</w:t>
      </w:r>
      <w:r>
        <w:t>, 2020 were included. No restrictions on language or year of publication were imposed. Studies were considered eligible if they reported extractable data on two outcomes: the proportion of SSIs and/or on the proportion of AMR pathogens isolated from SSIs. Data from all ertapenem study arms were extracted. Authors of included studies were contacted if information on the outcomes of interest was not specified in the published articles.</w:t>
      </w:r>
    </w:p>
    <w:p w:rsidR="00180F9F" w:rsidRDefault="00180F9F"/>
    <w:p w:rsidR="008A11F5" w:rsidRDefault="0014376F">
      <w:pPr>
        <w:numPr>
          <w:ilvl w:val="0"/>
          <w:numId w:val="1"/>
        </w:numPr>
        <w:pBdr>
          <w:top w:val="nil"/>
          <w:left w:val="nil"/>
          <w:bottom w:val="nil"/>
          <w:right w:val="nil"/>
          <w:between w:val="nil"/>
        </w:pBdr>
      </w:pPr>
      <w:r>
        <w:rPr>
          <w:color w:val="000000"/>
        </w:rPr>
        <w:t>Search terms</w:t>
      </w:r>
    </w:p>
    <w:p w:rsidR="008A11F5" w:rsidRDefault="0014376F">
      <w:pPr>
        <w:rPr>
          <w:b/>
        </w:rPr>
      </w:pPr>
      <w:proofErr w:type="spellStart"/>
      <w:r>
        <w:rPr>
          <w:b/>
        </w:rPr>
        <w:t>Pubmed</w:t>
      </w:r>
      <w:proofErr w:type="spellEnd"/>
    </w:p>
    <w:p w:rsidR="008A11F5" w:rsidRDefault="0014376F">
      <w:r>
        <w:t xml:space="preserve">(("Colorectal Surgery"[Mesh] OR (("Colon"[Mesh] OR "Rectum"[Mesh] OR colon OR colonic* OR rectum* OR rectal* OR </w:t>
      </w:r>
      <w:proofErr w:type="spellStart"/>
      <w:r>
        <w:t>colorect</w:t>
      </w:r>
      <w:proofErr w:type="spellEnd"/>
      <w:r>
        <w:t xml:space="preserve">* OR </w:t>
      </w:r>
      <w:proofErr w:type="spellStart"/>
      <w:r>
        <w:t>colo-rect</w:t>
      </w:r>
      <w:proofErr w:type="spellEnd"/>
      <w:r>
        <w:t xml:space="preserve">*) AND ("surgery" [Subheading] OR </w:t>
      </w:r>
      <w:proofErr w:type="spellStart"/>
      <w:r>
        <w:t>surger</w:t>
      </w:r>
      <w:proofErr w:type="spellEnd"/>
      <w:r>
        <w:t xml:space="preserve">* OR </w:t>
      </w:r>
      <w:proofErr w:type="spellStart"/>
      <w:r>
        <w:t>surgi</w:t>
      </w:r>
      <w:proofErr w:type="spellEnd"/>
      <w:r>
        <w:t>*)) OR colectomy) AND ("Ertapenem"[Mesh] OR Ertapenem OR Ertapenem-Sodium OR "Administration, Intravenous"[Mesh] OR intravenous) AND ("Antibiotic Prophylaxis"[Mesh] OR prophylaxis OR antibiotic prophylaxis OR antimicrobial prophylaxis) AND ("Surgical Wound Infection"[Mesh] OR infection*))</w:t>
      </w:r>
    </w:p>
    <w:p w:rsidR="008A11F5" w:rsidRDefault="0014376F">
      <w:pPr>
        <w:rPr>
          <w:b/>
        </w:rPr>
      </w:pPr>
      <w:r>
        <w:rPr>
          <w:b/>
        </w:rPr>
        <w:t>Embase</w:t>
      </w:r>
    </w:p>
    <w:p w:rsidR="008A11F5" w:rsidRDefault="0014376F">
      <w:r>
        <w:t xml:space="preserve">(('colorectal surgery'/exp OR 'colon resection'/exp OR 'colon resection' OR (('colon'/exp OR 'rectum'/exp OR colon OR colonic* OR rectum* OR rectal* OR </w:t>
      </w:r>
      <w:proofErr w:type="spellStart"/>
      <w:r>
        <w:t>colorect</w:t>
      </w:r>
      <w:proofErr w:type="spellEnd"/>
      <w:r>
        <w:t>* OR '</w:t>
      </w:r>
      <w:proofErr w:type="spellStart"/>
      <w:r>
        <w:t>colo</w:t>
      </w:r>
      <w:proofErr w:type="spellEnd"/>
      <w:r>
        <w:t xml:space="preserve"> </w:t>
      </w:r>
      <w:proofErr w:type="spellStart"/>
      <w:r>
        <w:t>rect</w:t>
      </w:r>
      <w:proofErr w:type="spellEnd"/>
      <w:r>
        <w:t xml:space="preserve">*') AND ('surgery'/exp OR </w:t>
      </w:r>
      <w:proofErr w:type="spellStart"/>
      <w:r>
        <w:t>surger</w:t>
      </w:r>
      <w:proofErr w:type="spellEnd"/>
      <w:r>
        <w:t xml:space="preserve">* OR </w:t>
      </w:r>
      <w:proofErr w:type="spellStart"/>
      <w:r>
        <w:t>surgi</w:t>
      </w:r>
      <w:proofErr w:type="spellEnd"/>
      <w:r>
        <w:t xml:space="preserve">*))) AND ('ertapenem'/exp OR 'ertapenem sodium' OR ertapenem OR 'intravenous drug administration' OR intravenous) AND ('antibiotic prophylaxis'/exp OR </w:t>
      </w:r>
      <w:proofErr w:type="spellStart"/>
      <w:r>
        <w:t>prophylax</w:t>
      </w:r>
      <w:proofErr w:type="spellEnd"/>
      <w:r>
        <w:t>* OR 'antimicrobial prophylaxis' OR 'antibiotic prophylaxis') AND ('surgical infection'/exp OR infection*))</w:t>
      </w:r>
    </w:p>
    <w:p w:rsidR="008A11F5" w:rsidRDefault="0014376F">
      <w:pPr>
        <w:rPr>
          <w:b/>
        </w:rPr>
      </w:pPr>
      <w:r>
        <w:rPr>
          <w:b/>
        </w:rPr>
        <w:t>Cochrane</w:t>
      </w:r>
    </w:p>
    <w:p w:rsidR="008A11F5" w:rsidRDefault="0014376F">
      <w:proofErr w:type="spellStart"/>
      <w:r>
        <w:t>MeSH</w:t>
      </w:r>
      <w:proofErr w:type="spellEnd"/>
      <w:r>
        <w:t xml:space="preserve"> descriptors: [Colon], [Rectum], [General Surgery], [Ertapenem], [Antibiotic Prophylaxis], [Administration, Intravenous] </w:t>
      </w:r>
    </w:p>
    <w:p w:rsidR="008A11F5" w:rsidRDefault="0014376F">
      <w:r>
        <w:t xml:space="preserve">Other included search terms: colon OR colonic* OR rectum* OR rectal* OR </w:t>
      </w:r>
      <w:proofErr w:type="spellStart"/>
      <w:r>
        <w:t>colorect</w:t>
      </w:r>
      <w:proofErr w:type="spellEnd"/>
      <w:r>
        <w:t xml:space="preserve">* OR </w:t>
      </w:r>
      <w:proofErr w:type="spellStart"/>
      <w:r>
        <w:t>colo-rect</w:t>
      </w:r>
      <w:proofErr w:type="spellEnd"/>
      <w:r>
        <w:t xml:space="preserve">*, </w:t>
      </w:r>
      <w:proofErr w:type="spellStart"/>
      <w:r>
        <w:t>surger</w:t>
      </w:r>
      <w:proofErr w:type="spellEnd"/>
      <w:r>
        <w:t xml:space="preserve">* OR </w:t>
      </w:r>
      <w:proofErr w:type="spellStart"/>
      <w:r>
        <w:t>surgi</w:t>
      </w:r>
      <w:proofErr w:type="spellEnd"/>
      <w:r>
        <w:t xml:space="preserve">*, </w:t>
      </w:r>
      <w:proofErr w:type="spellStart"/>
      <w:r>
        <w:t>Ertapenem</w:t>
      </w:r>
      <w:proofErr w:type="spellEnd"/>
      <w:r>
        <w:t xml:space="preserve"> OR </w:t>
      </w:r>
      <w:proofErr w:type="spellStart"/>
      <w:r>
        <w:t>Ertapenem</w:t>
      </w:r>
      <w:proofErr w:type="spellEnd"/>
      <w:r>
        <w:t>-Sodium, antibiotic prophylaxis OR antimicrobial prophylaxis OR prophylaxis</w:t>
      </w:r>
      <w:r>
        <w:tab/>
      </w:r>
    </w:p>
    <w:p w:rsidR="008A11F5" w:rsidRDefault="008A11F5"/>
    <w:p w:rsidR="008A11F5" w:rsidRDefault="0014376F">
      <w:pPr>
        <w:numPr>
          <w:ilvl w:val="0"/>
          <w:numId w:val="1"/>
        </w:numPr>
        <w:pBdr>
          <w:top w:val="nil"/>
          <w:left w:val="nil"/>
          <w:bottom w:val="nil"/>
          <w:right w:val="nil"/>
          <w:between w:val="nil"/>
        </w:pBdr>
        <w:rPr>
          <w:color w:val="000000"/>
        </w:rPr>
      </w:pPr>
      <w:r>
        <w:rPr>
          <w:color w:val="000000"/>
        </w:rPr>
        <w:t>Data extraction</w:t>
      </w:r>
    </w:p>
    <w:p w:rsidR="008A11F5" w:rsidRDefault="0014376F">
      <w:pPr>
        <w:spacing w:after="0"/>
      </w:pPr>
      <w:r>
        <w:rPr>
          <w:b/>
        </w:rPr>
        <w:t>Primary outcome</w:t>
      </w:r>
      <w:r>
        <w:t>: proportion of SSIs in colorectal procedures for which ertapenem was administered as the only surgical prophylaxis.</w:t>
      </w:r>
    </w:p>
    <w:p w:rsidR="008A11F5" w:rsidRDefault="0014376F">
      <w:pPr>
        <w:numPr>
          <w:ilvl w:val="0"/>
          <w:numId w:val="2"/>
        </w:numPr>
        <w:pBdr>
          <w:top w:val="nil"/>
          <w:left w:val="nil"/>
          <w:bottom w:val="nil"/>
          <w:right w:val="nil"/>
          <w:between w:val="nil"/>
        </w:pBdr>
        <w:spacing w:after="0"/>
        <w:rPr>
          <w:color w:val="000000"/>
        </w:rPr>
      </w:pPr>
      <w:r>
        <w:rPr>
          <w:color w:val="000000"/>
        </w:rPr>
        <w:t>Denominator: number of participants in ertapenem arms minus participants whose outcomes were missing,</w:t>
      </w:r>
    </w:p>
    <w:p w:rsidR="008A11F5" w:rsidRDefault="0014376F">
      <w:pPr>
        <w:numPr>
          <w:ilvl w:val="0"/>
          <w:numId w:val="2"/>
        </w:numPr>
        <w:pBdr>
          <w:top w:val="nil"/>
          <w:left w:val="nil"/>
          <w:bottom w:val="nil"/>
          <w:right w:val="nil"/>
          <w:between w:val="nil"/>
        </w:pBdr>
        <w:rPr>
          <w:color w:val="000000"/>
        </w:rPr>
      </w:pPr>
      <w:r>
        <w:rPr>
          <w:color w:val="000000"/>
        </w:rPr>
        <w:lastRenderedPageBreak/>
        <w:t>Numerator: number of participants with postoperative infections.</w:t>
      </w:r>
    </w:p>
    <w:p w:rsidR="008A11F5" w:rsidRDefault="0014376F">
      <w:pPr>
        <w:spacing w:after="0"/>
      </w:pPr>
      <w:r>
        <w:rPr>
          <w:b/>
        </w:rPr>
        <w:t>Secondary outcome</w:t>
      </w:r>
      <w:r>
        <w:t>: proportion of AMR isolates from SSIs following colorectal procedures for which ertapenem was administered as the only surgical prophylaxis.</w:t>
      </w:r>
    </w:p>
    <w:p w:rsidR="008A11F5" w:rsidRDefault="0014376F">
      <w:pPr>
        <w:numPr>
          <w:ilvl w:val="0"/>
          <w:numId w:val="2"/>
        </w:numPr>
        <w:pBdr>
          <w:top w:val="nil"/>
          <w:left w:val="nil"/>
          <w:bottom w:val="nil"/>
          <w:right w:val="nil"/>
          <w:between w:val="nil"/>
        </w:pBdr>
        <w:spacing w:after="0"/>
        <w:rPr>
          <w:color w:val="000000"/>
        </w:rPr>
      </w:pPr>
      <w:r>
        <w:rPr>
          <w:color w:val="000000"/>
        </w:rPr>
        <w:t>Denominator: number of isolated micro-organisms,</w:t>
      </w:r>
    </w:p>
    <w:p w:rsidR="008A11F5" w:rsidRPr="00B71510" w:rsidRDefault="0014376F" w:rsidP="00B71510">
      <w:pPr>
        <w:numPr>
          <w:ilvl w:val="0"/>
          <w:numId w:val="2"/>
        </w:numPr>
        <w:pBdr>
          <w:top w:val="nil"/>
          <w:left w:val="nil"/>
          <w:bottom w:val="nil"/>
          <w:right w:val="nil"/>
          <w:between w:val="nil"/>
        </w:pBdr>
        <w:rPr>
          <w:color w:val="000000"/>
        </w:rPr>
      </w:pPr>
      <w:r>
        <w:rPr>
          <w:color w:val="000000"/>
        </w:rPr>
        <w:t>Numerator: number of isolates resistant to ertapenem.</w:t>
      </w:r>
    </w:p>
    <w:p w:rsidR="008A11F5" w:rsidRPr="00ED1012" w:rsidRDefault="0014376F" w:rsidP="00B71510">
      <w:pPr>
        <w:rPr>
          <w:b/>
          <w:bCs/>
          <w:color w:val="000000"/>
        </w:rPr>
      </w:pPr>
      <w:r>
        <w:br w:type="page"/>
      </w:r>
      <w:r w:rsidRPr="00ED1012">
        <w:rPr>
          <w:b/>
          <w:bCs/>
          <w:color w:val="000000"/>
        </w:rPr>
        <w:lastRenderedPageBreak/>
        <w:t>Results</w:t>
      </w:r>
    </w:p>
    <w:p w:rsidR="008A11F5" w:rsidRDefault="00E32DE5">
      <w:r>
        <w:rPr>
          <w:b/>
        </w:rPr>
        <w:t xml:space="preserve">Suppl. </w:t>
      </w:r>
      <w:r w:rsidR="0014376F">
        <w:rPr>
          <w:b/>
        </w:rPr>
        <w:t>Figure 1</w:t>
      </w:r>
      <w:r w:rsidR="0014376F">
        <w:t>. Inclusion and exclusion diagram.</w:t>
      </w:r>
    </w:p>
    <w:p w:rsidR="008A11F5" w:rsidRDefault="0014376F">
      <w:bookmarkStart w:id="0" w:name="_heading=h.gjdgxs" w:colFirst="0" w:colLast="0"/>
      <w:bookmarkEnd w:id="0"/>
      <w:r>
        <w:rPr>
          <w:noProof/>
          <w:lang w:val="it-IT"/>
        </w:rPr>
        <w:drawing>
          <wp:inline distT="0" distB="0" distL="0" distR="0">
            <wp:extent cx="6120130" cy="584026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6120130" cy="5840268"/>
                    </a:xfrm>
                    <a:prstGeom prst="rect">
                      <a:avLst/>
                    </a:prstGeom>
                    <a:ln/>
                  </pic:spPr>
                </pic:pic>
              </a:graphicData>
            </a:graphic>
          </wp:inline>
        </w:drawing>
      </w:r>
      <w:r>
        <w:br w:type="page"/>
      </w:r>
    </w:p>
    <w:p w:rsidR="008A11F5" w:rsidRDefault="00E32DE5">
      <w:r>
        <w:rPr>
          <w:b/>
        </w:rPr>
        <w:lastRenderedPageBreak/>
        <w:t xml:space="preserve">Suppl. </w:t>
      </w:r>
      <w:r w:rsidR="0014376F">
        <w:rPr>
          <w:b/>
        </w:rPr>
        <w:t>Table 1</w:t>
      </w:r>
      <w:r w:rsidR="0014376F">
        <w:t>. Characteristics of included studies.</w:t>
      </w:r>
    </w:p>
    <w:tbl>
      <w:tblPr>
        <w:tblStyle w:val="a"/>
        <w:tblW w:w="99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59"/>
        <w:gridCol w:w="890"/>
        <w:gridCol w:w="1028"/>
        <w:gridCol w:w="842"/>
        <w:gridCol w:w="1028"/>
        <w:gridCol w:w="1843"/>
        <w:gridCol w:w="1243"/>
        <w:gridCol w:w="1122"/>
        <w:gridCol w:w="1028"/>
      </w:tblGrid>
      <w:tr w:rsidR="008A11F5">
        <w:trPr>
          <w:trHeight w:val="584"/>
        </w:trPr>
        <w:tc>
          <w:tcPr>
            <w:tcW w:w="959" w:type="dxa"/>
          </w:tcPr>
          <w:p w:rsidR="008A11F5" w:rsidRDefault="0014376F">
            <w:pPr>
              <w:rPr>
                <w:sz w:val="16"/>
                <w:szCs w:val="16"/>
              </w:rPr>
            </w:pPr>
            <w:r>
              <w:rPr>
                <w:sz w:val="16"/>
                <w:szCs w:val="16"/>
              </w:rPr>
              <w:t>Reference</w:t>
            </w:r>
          </w:p>
        </w:tc>
        <w:tc>
          <w:tcPr>
            <w:tcW w:w="890" w:type="dxa"/>
          </w:tcPr>
          <w:p w:rsidR="008A11F5" w:rsidRDefault="0014376F">
            <w:pPr>
              <w:rPr>
                <w:sz w:val="16"/>
                <w:szCs w:val="16"/>
              </w:rPr>
            </w:pPr>
            <w:r>
              <w:rPr>
                <w:sz w:val="16"/>
                <w:szCs w:val="16"/>
              </w:rPr>
              <w:t>Study type</w:t>
            </w:r>
          </w:p>
        </w:tc>
        <w:tc>
          <w:tcPr>
            <w:tcW w:w="1028" w:type="dxa"/>
          </w:tcPr>
          <w:p w:rsidR="008A11F5" w:rsidRDefault="0014376F">
            <w:pPr>
              <w:rPr>
                <w:sz w:val="16"/>
                <w:szCs w:val="16"/>
              </w:rPr>
            </w:pPr>
            <w:r>
              <w:rPr>
                <w:sz w:val="16"/>
                <w:szCs w:val="16"/>
              </w:rPr>
              <w:t>Location</w:t>
            </w:r>
          </w:p>
        </w:tc>
        <w:tc>
          <w:tcPr>
            <w:tcW w:w="842" w:type="dxa"/>
          </w:tcPr>
          <w:p w:rsidR="008A11F5" w:rsidRDefault="0014376F">
            <w:pPr>
              <w:rPr>
                <w:sz w:val="16"/>
                <w:szCs w:val="16"/>
              </w:rPr>
            </w:pPr>
            <w:r>
              <w:rPr>
                <w:sz w:val="16"/>
                <w:szCs w:val="16"/>
              </w:rPr>
              <w:t>Study period</w:t>
            </w:r>
          </w:p>
        </w:tc>
        <w:tc>
          <w:tcPr>
            <w:tcW w:w="1028" w:type="dxa"/>
          </w:tcPr>
          <w:p w:rsidR="008A11F5" w:rsidRDefault="0014376F">
            <w:pPr>
              <w:rPr>
                <w:sz w:val="16"/>
                <w:szCs w:val="16"/>
              </w:rPr>
            </w:pPr>
            <w:r>
              <w:rPr>
                <w:sz w:val="16"/>
                <w:szCs w:val="16"/>
              </w:rPr>
              <w:t>Population (surgical procedure)</w:t>
            </w:r>
          </w:p>
        </w:tc>
        <w:tc>
          <w:tcPr>
            <w:tcW w:w="1843" w:type="dxa"/>
          </w:tcPr>
          <w:p w:rsidR="008A11F5" w:rsidRDefault="0014376F">
            <w:pPr>
              <w:rPr>
                <w:sz w:val="16"/>
                <w:szCs w:val="16"/>
              </w:rPr>
            </w:pPr>
            <w:r>
              <w:rPr>
                <w:sz w:val="16"/>
                <w:szCs w:val="16"/>
              </w:rPr>
              <w:t>Exclusion criteria</w:t>
            </w:r>
          </w:p>
        </w:tc>
        <w:tc>
          <w:tcPr>
            <w:tcW w:w="1243" w:type="dxa"/>
          </w:tcPr>
          <w:p w:rsidR="008A11F5" w:rsidRDefault="0014376F">
            <w:pPr>
              <w:rPr>
                <w:sz w:val="16"/>
                <w:szCs w:val="16"/>
              </w:rPr>
            </w:pPr>
            <w:r>
              <w:rPr>
                <w:sz w:val="16"/>
                <w:szCs w:val="16"/>
              </w:rPr>
              <w:t>Follow-up</w:t>
            </w:r>
          </w:p>
        </w:tc>
        <w:tc>
          <w:tcPr>
            <w:tcW w:w="1122" w:type="dxa"/>
          </w:tcPr>
          <w:p w:rsidR="008A11F5" w:rsidRDefault="0014376F">
            <w:pPr>
              <w:rPr>
                <w:sz w:val="16"/>
                <w:szCs w:val="16"/>
              </w:rPr>
            </w:pPr>
            <w:r>
              <w:rPr>
                <w:sz w:val="16"/>
                <w:szCs w:val="16"/>
              </w:rPr>
              <w:t>Ertapenem timing, dosage and duration</w:t>
            </w:r>
          </w:p>
        </w:tc>
        <w:tc>
          <w:tcPr>
            <w:tcW w:w="1028" w:type="dxa"/>
          </w:tcPr>
          <w:p w:rsidR="008A11F5" w:rsidRDefault="0014376F">
            <w:pPr>
              <w:rPr>
                <w:sz w:val="16"/>
                <w:szCs w:val="16"/>
              </w:rPr>
            </w:pPr>
            <w:r>
              <w:rPr>
                <w:sz w:val="16"/>
                <w:szCs w:val="16"/>
              </w:rPr>
              <w:t xml:space="preserve">Notes </w:t>
            </w:r>
          </w:p>
        </w:tc>
      </w:tr>
      <w:tr w:rsidR="008A11F5">
        <w:trPr>
          <w:trHeight w:val="253"/>
        </w:trPr>
        <w:tc>
          <w:tcPr>
            <w:tcW w:w="959" w:type="dxa"/>
          </w:tcPr>
          <w:p w:rsidR="008A11F5" w:rsidRDefault="0014376F">
            <w:pPr>
              <w:rPr>
                <w:sz w:val="16"/>
                <w:szCs w:val="16"/>
              </w:rPr>
            </w:pPr>
            <w:proofErr w:type="spellStart"/>
            <w:r>
              <w:rPr>
                <w:sz w:val="16"/>
                <w:szCs w:val="16"/>
              </w:rPr>
              <w:t>Leng</w:t>
            </w:r>
            <w:proofErr w:type="spellEnd"/>
            <w:r>
              <w:rPr>
                <w:sz w:val="16"/>
                <w:szCs w:val="16"/>
              </w:rPr>
              <w:t xml:space="preserve"> et al, 2014</w:t>
            </w:r>
          </w:p>
        </w:tc>
        <w:tc>
          <w:tcPr>
            <w:tcW w:w="890" w:type="dxa"/>
          </w:tcPr>
          <w:p w:rsidR="008A11F5" w:rsidRDefault="0014376F">
            <w:pPr>
              <w:rPr>
                <w:sz w:val="16"/>
                <w:szCs w:val="16"/>
              </w:rPr>
            </w:pPr>
            <w:r>
              <w:rPr>
                <w:sz w:val="16"/>
                <w:szCs w:val="16"/>
              </w:rPr>
              <w:t>Randomized controlled double-blind study</w:t>
            </w:r>
          </w:p>
        </w:tc>
        <w:tc>
          <w:tcPr>
            <w:tcW w:w="1028" w:type="dxa"/>
          </w:tcPr>
          <w:p w:rsidR="008A11F5" w:rsidRDefault="0014376F">
            <w:pPr>
              <w:rPr>
                <w:sz w:val="16"/>
                <w:szCs w:val="16"/>
              </w:rPr>
            </w:pPr>
            <w:r>
              <w:rPr>
                <w:sz w:val="16"/>
                <w:szCs w:val="16"/>
              </w:rPr>
              <w:t>China (multicentric: 25 sites)</w:t>
            </w:r>
          </w:p>
        </w:tc>
        <w:tc>
          <w:tcPr>
            <w:tcW w:w="842" w:type="dxa"/>
          </w:tcPr>
          <w:p w:rsidR="008A11F5" w:rsidRDefault="0014376F">
            <w:pPr>
              <w:rPr>
                <w:sz w:val="16"/>
                <w:szCs w:val="16"/>
              </w:rPr>
            </w:pPr>
            <w:r>
              <w:rPr>
                <w:sz w:val="16"/>
                <w:szCs w:val="16"/>
              </w:rPr>
              <w:t>December 2010 – December 2011</w:t>
            </w:r>
          </w:p>
        </w:tc>
        <w:tc>
          <w:tcPr>
            <w:tcW w:w="1028" w:type="dxa"/>
          </w:tcPr>
          <w:p w:rsidR="008A11F5" w:rsidRDefault="0014376F">
            <w:pPr>
              <w:rPr>
                <w:sz w:val="16"/>
                <w:szCs w:val="16"/>
              </w:rPr>
            </w:pPr>
            <w:r>
              <w:rPr>
                <w:sz w:val="16"/>
                <w:szCs w:val="16"/>
              </w:rPr>
              <w:t>526 adult patients undergoing elective colon or colorectal surgery by laparotomy</w:t>
            </w:r>
          </w:p>
        </w:tc>
        <w:tc>
          <w:tcPr>
            <w:tcW w:w="1843" w:type="dxa"/>
          </w:tcPr>
          <w:p w:rsidR="008A11F5" w:rsidRDefault="0014376F">
            <w:pPr>
              <w:rPr>
                <w:sz w:val="16"/>
                <w:szCs w:val="16"/>
              </w:rPr>
            </w:pPr>
            <w:r>
              <w:rPr>
                <w:sz w:val="16"/>
                <w:szCs w:val="16"/>
              </w:rPr>
              <w:t>Patients with emergency procedures, second surgery anticipated within 4 weeks, scheduled laparoscopy-assisted surgery, isolated rectal procedure, revision of a previous operation involving large bowel resection, active inflammatory bowel disease involving the colon, bacterial infection requiring systemic antimicrobial therapy within 1 week prior to surgery, contraindication to the study drugs, immunosuppression, neutropenia at screening, pregnant or nursing women, considered unlikely to complete the study based on the investigator’s judgement.</w:t>
            </w:r>
          </w:p>
        </w:tc>
        <w:tc>
          <w:tcPr>
            <w:tcW w:w="1243" w:type="dxa"/>
          </w:tcPr>
          <w:p w:rsidR="008A11F5" w:rsidRDefault="0014376F">
            <w:pPr>
              <w:rPr>
                <w:sz w:val="16"/>
                <w:szCs w:val="16"/>
              </w:rPr>
            </w:pPr>
            <w:r>
              <w:rPr>
                <w:sz w:val="16"/>
                <w:szCs w:val="16"/>
              </w:rPr>
              <w:t>4 weeks</w:t>
            </w:r>
          </w:p>
        </w:tc>
        <w:tc>
          <w:tcPr>
            <w:tcW w:w="1122" w:type="dxa"/>
          </w:tcPr>
          <w:p w:rsidR="008A11F5" w:rsidRDefault="0014376F">
            <w:pPr>
              <w:rPr>
                <w:sz w:val="16"/>
                <w:szCs w:val="16"/>
              </w:rPr>
            </w:pPr>
            <w:r>
              <w:rPr>
                <w:sz w:val="16"/>
                <w:szCs w:val="16"/>
              </w:rPr>
              <w:t>Single 1g dose within 2 hours prior to surgical incision, administered as a 30 min infusion.</w:t>
            </w:r>
          </w:p>
        </w:tc>
        <w:tc>
          <w:tcPr>
            <w:tcW w:w="1028" w:type="dxa"/>
          </w:tcPr>
          <w:p w:rsidR="008A11F5" w:rsidRDefault="0014376F">
            <w:pPr>
              <w:rPr>
                <w:sz w:val="16"/>
                <w:szCs w:val="16"/>
              </w:rPr>
            </w:pPr>
            <w:r>
              <w:rPr>
                <w:sz w:val="16"/>
                <w:szCs w:val="16"/>
              </w:rPr>
              <w:t xml:space="preserve">Industry sponsored; study design, data collection and analysis by </w:t>
            </w:r>
            <w:proofErr w:type="spellStart"/>
            <w:r>
              <w:rPr>
                <w:sz w:val="16"/>
                <w:szCs w:val="16"/>
              </w:rPr>
              <w:t>Merck&amp;co</w:t>
            </w:r>
            <w:proofErr w:type="spellEnd"/>
            <w:r>
              <w:rPr>
                <w:sz w:val="16"/>
                <w:szCs w:val="16"/>
              </w:rPr>
              <w:t>., Inc.</w:t>
            </w:r>
          </w:p>
          <w:p w:rsidR="008A11F5" w:rsidRDefault="008A11F5">
            <w:pPr>
              <w:rPr>
                <w:sz w:val="16"/>
                <w:szCs w:val="16"/>
              </w:rPr>
            </w:pPr>
          </w:p>
        </w:tc>
      </w:tr>
      <w:tr w:rsidR="008A11F5">
        <w:trPr>
          <w:trHeight w:val="253"/>
        </w:trPr>
        <w:tc>
          <w:tcPr>
            <w:tcW w:w="959" w:type="dxa"/>
          </w:tcPr>
          <w:p w:rsidR="008A11F5" w:rsidRDefault="0014376F">
            <w:pPr>
              <w:rPr>
                <w:sz w:val="16"/>
                <w:szCs w:val="16"/>
              </w:rPr>
            </w:pPr>
            <w:proofErr w:type="spellStart"/>
            <w:r>
              <w:rPr>
                <w:sz w:val="16"/>
                <w:szCs w:val="16"/>
              </w:rPr>
              <w:t>Deierhoi</w:t>
            </w:r>
            <w:proofErr w:type="spellEnd"/>
            <w:r>
              <w:rPr>
                <w:sz w:val="16"/>
                <w:szCs w:val="16"/>
              </w:rPr>
              <w:t xml:space="preserve"> et al, 2013</w:t>
            </w:r>
          </w:p>
        </w:tc>
        <w:tc>
          <w:tcPr>
            <w:tcW w:w="890" w:type="dxa"/>
          </w:tcPr>
          <w:p w:rsidR="008A11F5" w:rsidRDefault="0014376F">
            <w:pPr>
              <w:rPr>
                <w:sz w:val="16"/>
                <w:szCs w:val="16"/>
              </w:rPr>
            </w:pPr>
            <w:r>
              <w:rPr>
                <w:sz w:val="16"/>
                <w:szCs w:val="16"/>
              </w:rPr>
              <w:t>Retrospective cohort study</w:t>
            </w:r>
          </w:p>
        </w:tc>
        <w:tc>
          <w:tcPr>
            <w:tcW w:w="1028" w:type="dxa"/>
          </w:tcPr>
          <w:p w:rsidR="008A11F5" w:rsidRDefault="0014376F">
            <w:pPr>
              <w:rPr>
                <w:sz w:val="16"/>
                <w:szCs w:val="16"/>
              </w:rPr>
            </w:pPr>
            <w:r>
              <w:rPr>
                <w:sz w:val="16"/>
                <w:szCs w:val="16"/>
              </w:rPr>
              <w:t>USA (multicentric: 112 hospitals)</w:t>
            </w:r>
          </w:p>
        </w:tc>
        <w:tc>
          <w:tcPr>
            <w:tcW w:w="842" w:type="dxa"/>
          </w:tcPr>
          <w:p w:rsidR="008A11F5" w:rsidRDefault="0014376F">
            <w:pPr>
              <w:rPr>
                <w:sz w:val="16"/>
                <w:szCs w:val="16"/>
              </w:rPr>
            </w:pPr>
            <w:r>
              <w:rPr>
                <w:sz w:val="16"/>
                <w:szCs w:val="16"/>
              </w:rPr>
              <w:t>2005 - 2009</w:t>
            </w:r>
          </w:p>
        </w:tc>
        <w:tc>
          <w:tcPr>
            <w:tcW w:w="1028" w:type="dxa"/>
          </w:tcPr>
          <w:p w:rsidR="008A11F5" w:rsidRDefault="0014376F">
            <w:pPr>
              <w:rPr>
                <w:sz w:val="16"/>
                <w:szCs w:val="16"/>
              </w:rPr>
            </w:pPr>
            <w:r>
              <w:rPr>
                <w:sz w:val="16"/>
                <w:szCs w:val="16"/>
              </w:rPr>
              <w:t>5750 elective colorectal operations</w:t>
            </w:r>
          </w:p>
        </w:tc>
        <w:tc>
          <w:tcPr>
            <w:tcW w:w="1843" w:type="dxa"/>
          </w:tcPr>
          <w:p w:rsidR="008A11F5" w:rsidRDefault="0014376F">
            <w:pPr>
              <w:rPr>
                <w:sz w:val="16"/>
                <w:szCs w:val="16"/>
              </w:rPr>
            </w:pPr>
            <w:r>
              <w:rPr>
                <w:sz w:val="16"/>
                <w:szCs w:val="16"/>
              </w:rPr>
              <w:t>Missing prophylactic antibiotic agent information or use of a non SCIP (Surgical Care Improvement Project) -approved antibiotic.</w:t>
            </w:r>
          </w:p>
        </w:tc>
        <w:tc>
          <w:tcPr>
            <w:tcW w:w="1243" w:type="dxa"/>
          </w:tcPr>
          <w:p w:rsidR="008A11F5" w:rsidRDefault="0014376F">
            <w:pPr>
              <w:rPr>
                <w:sz w:val="16"/>
                <w:szCs w:val="16"/>
              </w:rPr>
            </w:pPr>
            <w:r>
              <w:rPr>
                <w:sz w:val="16"/>
                <w:szCs w:val="16"/>
              </w:rPr>
              <w:t>30 days</w:t>
            </w:r>
          </w:p>
        </w:tc>
        <w:tc>
          <w:tcPr>
            <w:tcW w:w="1122" w:type="dxa"/>
          </w:tcPr>
          <w:p w:rsidR="008A11F5" w:rsidRDefault="0014376F">
            <w:pPr>
              <w:rPr>
                <w:sz w:val="16"/>
                <w:szCs w:val="16"/>
              </w:rPr>
            </w:pPr>
            <w:r>
              <w:rPr>
                <w:sz w:val="16"/>
                <w:szCs w:val="16"/>
              </w:rPr>
              <w:t>Not specified.</w:t>
            </w:r>
          </w:p>
        </w:tc>
        <w:tc>
          <w:tcPr>
            <w:tcW w:w="1028" w:type="dxa"/>
          </w:tcPr>
          <w:p w:rsidR="008A11F5" w:rsidRDefault="0014376F">
            <w:pPr>
              <w:rPr>
                <w:sz w:val="16"/>
                <w:szCs w:val="16"/>
              </w:rPr>
            </w:pPr>
            <w:r>
              <w:rPr>
                <w:sz w:val="16"/>
                <w:szCs w:val="16"/>
              </w:rPr>
              <w:t>Both LPS and open procedures were included.</w:t>
            </w:r>
          </w:p>
          <w:p w:rsidR="008A11F5" w:rsidRDefault="0014376F">
            <w:pPr>
              <w:rPr>
                <w:sz w:val="16"/>
                <w:szCs w:val="16"/>
              </w:rPr>
            </w:pPr>
            <w:r>
              <w:rPr>
                <w:sz w:val="16"/>
                <w:szCs w:val="16"/>
              </w:rPr>
              <w:t>Organ space SSI were not included in the outcomes.</w:t>
            </w:r>
          </w:p>
        </w:tc>
      </w:tr>
      <w:tr w:rsidR="008A11F5">
        <w:trPr>
          <w:trHeight w:val="243"/>
        </w:trPr>
        <w:tc>
          <w:tcPr>
            <w:tcW w:w="959" w:type="dxa"/>
          </w:tcPr>
          <w:p w:rsidR="008A11F5" w:rsidRDefault="0014376F">
            <w:pPr>
              <w:rPr>
                <w:sz w:val="16"/>
                <w:szCs w:val="16"/>
              </w:rPr>
            </w:pPr>
            <w:proofErr w:type="spellStart"/>
            <w:r>
              <w:rPr>
                <w:sz w:val="16"/>
                <w:szCs w:val="16"/>
              </w:rPr>
              <w:t>Itani</w:t>
            </w:r>
            <w:proofErr w:type="spellEnd"/>
            <w:r>
              <w:rPr>
                <w:sz w:val="16"/>
                <w:szCs w:val="16"/>
              </w:rPr>
              <w:t xml:space="preserve"> et al, 2006</w:t>
            </w:r>
          </w:p>
        </w:tc>
        <w:tc>
          <w:tcPr>
            <w:tcW w:w="890" w:type="dxa"/>
          </w:tcPr>
          <w:p w:rsidR="008A11F5" w:rsidRDefault="0014376F">
            <w:pPr>
              <w:rPr>
                <w:sz w:val="16"/>
                <w:szCs w:val="16"/>
              </w:rPr>
            </w:pPr>
            <w:r>
              <w:rPr>
                <w:sz w:val="16"/>
                <w:szCs w:val="16"/>
              </w:rPr>
              <w:t>Randomized controlled double-blind study</w:t>
            </w:r>
          </w:p>
        </w:tc>
        <w:tc>
          <w:tcPr>
            <w:tcW w:w="1028" w:type="dxa"/>
          </w:tcPr>
          <w:p w:rsidR="008A11F5" w:rsidRDefault="0014376F">
            <w:pPr>
              <w:rPr>
                <w:sz w:val="16"/>
                <w:szCs w:val="16"/>
              </w:rPr>
            </w:pPr>
            <w:r>
              <w:rPr>
                <w:sz w:val="16"/>
                <w:szCs w:val="16"/>
              </w:rPr>
              <w:t>USA (multicentric: 51 centres)</w:t>
            </w:r>
          </w:p>
        </w:tc>
        <w:tc>
          <w:tcPr>
            <w:tcW w:w="842" w:type="dxa"/>
          </w:tcPr>
          <w:p w:rsidR="008A11F5" w:rsidRDefault="0014376F">
            <w:pPr>
              <w:rPr>
                <w:sz w:val="16"/>
                <w:szCs w:val="16"/>
              </w:rPr>
            </w:pPr>
            <w:r>
              <w:rPr>
                <w:sz w:val="16"/>
                <w:szCs w:val="16"/>
              </w:rPr>
              <w:t>May 2002 – March 2005</w:t>
            </w:r>
          </w:p>
        </w:tc>
        <w:tc>
          <w:tcPr>
            <w:tcW w:w="1028" w:type="dxa"/>
          </w:tcPr>
          <w:p w:rsidR="008A11F5" w:rsidRDefault="0014376F">
            <w:pPr>
              <w:rPr>
                <w:sz w:val="16"/>
                <w:szCs w:val="16"/>
              </w:rPr>
            </w:pPr>
            <w:r>
              <w:rPr>
                <w:sz w:val="16"/>
                <w:szCs w:val="16"/>
              </w:rPr>
              <w:t>672 adult patients undergoing elective open surgery of the colon or rectum with sufficient time for bowel preparation</w:t>
            </w:r>
          </w:p>
        </w:tc>
        <w:tc>
          <w:tcPr>
            <w:tcW w:w="1843" w:type="dxa"/>
          </w:tcPr>
          <w:p w:rsidR="008A11F5" w:rsidRDefault="0014376F">
            <w:pPr>
              <w:rPr>
                <w:sz w:val="16"/>
                <w:szCs w:val="16"/>
              </w:rPr>
            </w:pPr>
            <w:r>
              <w:rPr>
                <w:sz w:val="16"/>
                <w:szCs w:val="16"/>
              </w:rPr>
              <w:t>Patients with emergency procedures, second planned surgery requiring antibiotic prophylaxis, elective procedure for revision of a previous surgery, laparoscopy-assisted surgery, isolated rectal procedure, active inflammatory bowel disease involving the colon, bacterial infection requiring systemic antimicrobial therapy up to 1 week prior to surgery, contraindication to the study drugs, immunosuppression, neutropenia, aminotransferase levels or prothrombin times at least three times the upper limit of the normal range, pregnant or nursing women.</w:t>
            </w:r>
          </w:p>
        </w:tc>
        <w:tc>
          <w:tcPr>
            <w:tcW w:w="1243" w:type="dxa"/>
          </w:tcPr>
          <w:p w:rsidR="008A11F5" w:rsidRDefault="0014376F">
            <w:pPr>
              <w:rPr>
                <w:sz w:val="16"/>
                <w:szCs w:val="16"/>
              </w:rPr>
            </w:pPr>
            <w:r>
              <w:rPr>
                <w:sz w:val="16"/>
                <w:szCs w:val="16"/>
              </w:rPr>
              <w:t>4 weeks</w:t>
            </w:r>
          </w:p>
        </w:tc>
        <w:tc>
          <w:tcPr>
            <w:tcW w:w="1122" w:type="dxa"/>
          </w:tcPr>
          <w:p w:rsidR="008A11F5" w:rsidRDefault="0014376F">
            <w:pPr>
              <w:rPr>
                <w:sz w:val="16"/>
                <w:szCs w:val="16"/>
              </w:rPr>
            </w:pPr>
            <w:r>
              <w:rPr>
                <w:sz w:val="16"/>
                <w:szCs w:val="16"/>
              </w:rPr>
              <w:t>Single 1g dose infused over a 30-minute period within 60 minutes prior to surgical incision.</w:t>
            </w:r>
          </w:p>
        </w:tc>
        <w:tc>
          <w:tcPr>
            <w:tcW w:w="1028" w:type="dxa"/>
          </w:tcPr>
          <w:p w:rsidR="008A11F5" w:rsidRDefault="0014376F">
            <w:pPr>
              <w:rPr>
                <w:sz w:val="16"/>
                <w:szCs w:val="16"/>
              </w:rPr>
            </w:pPr>
            <w:r>
              <w:rPr>
                <w:sz w:val="16"/>
                <w:szCs w:val="16"/>
              </w:rPr>
              <w:t xml:space="preserve">Industry sponsored; study design, data collection and analysis by </w:t>
            </w:r>
            <w:proofErr w:type="spellStart"/>
            <w:r>
              <w:rPr>
                <w:sz w:val="16"/>
                <w:szCs w:val="16"/>
              </w:rPr>
              <w:t>Merck&amp;co</w:t>
            </w:r>
            <w:proofErr w:type="spellEnd"/>
            <w:r>
              <w:rPr>
                <w:sz w:val="16"/>
                <w:szCs w:val="16"/>
              </w:rPr>
              <w:t>., Inc.</w:t>
            </w:r>
          </w:p>
          <w:p w:rsidR="008A11F5" w:rsidRDefault="008A11F5">
            <w:pPr>
              <w:rPr>
                <w:sz w:val="16"/>
                <w:szCs w:val="16"/>
              </w:rPr>
            </w:pPr>
          </w:p>
        </w:tc>
      </w:tr>
      <w:tr w:rsidR="008A11F5">
        <w:trPr>
          <w:trHeight w:val="253"/>
        </w:trPr>
        <w:tc>
          <w:tcPr>
            <w:tcW w:w="959" w:type="dxa"/>
          </w:tcPr>
          <w:p w:rsidR="008A11F5" w:rsidRDefault="0014376F">
            <w:pPr>
              <w:rPr>
                <w:sz w:val="16"/>
                <w:szCs w:val="16"/>
              </w:rPr>
            </w:pPr>
            <w:r>
              <w:rPr>
                <w:sz w:val="16"/>
                <w:szCs w:val="16"/>
              </w:rPr>
              <w:t xml:space="preserve">Kuriakose et al, </w:t>
            </w:r>
            <w:r>
              <w:rPr>
                <w:sz w:val="16"/>
                <w:szCs w:val="16"/>
              </w:rPr>
              <w:lastRenderedPageBreak/>
              <w:t>2019*</w:t>
            </w:r>
          </w:p>
        </w:tc>
        <w:tc>
          <w:tcPr>
            <w:tcW w:w="890" w:type="dxa"/>
          </w:tcPr>
          <w:p w:rsidR="008A11F5" w:rsidRDefault="0014376F">
            <w:pPr>
              <w:rPr>
                <w:sz w:val="16"/>
                <w:szCs w:val="16"/>
              </w:rPr>
            </w:pPr>
            <w:r>
              <w:rPr>
                <w:sz w:val="16"/>
                <w:szCs w:val="16"/>
              </w:rPr>
              <w:lastRenderedPageBreak/>
              <w:t xml:space="preserve">Retrospective </w:t>
            </w:r>
            <w:r>
              <w:rPr>
                <w:sz w:val="16"/>
                <w:szCs w:val="16"/>
              </w:rPr>
              <w:lastRenderedPageBreak/>
              <w:t>cohort study</w:t>
            </w:r>
          </w:p>
        </w:tc>
        <w:tc>
          <w:tcPr>
            <w:tcW w:w="1028" w:type="dxa"/>
          </w:tcPr>
          <w:p w:rsidR="008A11F5" w:rsidRDefault="0014376F">
            <w:pPr>
              <w:rPr>
                <w:sz w:val="16"/>
                <w:szCs w:val="16"/>
              </w:rPr>
            </w:pPr>
            <w:r>
              <w:rPr>
                <w:sz w:val="16"/>
                <w:szCs w:val="16"/>
              </w:rPr>
              <w:lastRenderedPageBreak/>
              <w:t>Michigan (multicentri</w:t>
            </w:r>
            <w:r>
              <w:rPr>
                <w:sz w:val="16"/>
                <w:szCs w:val="16"/>
              </w:rPr>
              <w:lastRenderedPageBreak/>
              <w:t>c: 70 hospitals)</w:t>
            </w:r>
          </w:p>
        </w:tc>
        <w:tc>
          <w:tcPr>
            <w:tcW w:w="842" w:type="dxa"/>
          </w:tcPr>
          <w:p w:rsidR="008A11F5" w:rsidRDefault="0014376F">
            <w:pPr>
              <w:rPr>
                <w:sz w:val="16"/>
                <w:szCs w:val="16"/>
              </w:rPr>
            </w:pPr>
            <w:r>
              <w:rPr>
                <w:sz w:val="16"/>
                <w:szCs w:val="16"/>
              </w:rPr>
              <w:lastRenderedPageBreak/>
              <w:t xml:space="preserve">January 2013 – </w:t>
            </w:r>
            <w:r>
              <w:rPr>
                <w:sz w:val="16"/>
                <w:szCs w:val="16"/>
              </w:rPr>
              <w:lastRenderedPageBreak/>
              <w:t>February 2018</w:t>
            </w:r>
          </w:p>
        </w:tc>
        <w:tc>
          <w:tcPr>
            <w:tcW w:w="1028" w:type="dxa"/>
          </w:tcPr>
          <w:p w:rsidR="008A11F5" w:rsidRDefault="0014376F">
            <w:pPr>
              <w:rPr>
                <w:sz w:val="16"/>
                <w:szCs w:val="16"/>
              </w:rPr>
            </w:pPr>
            <w:r>
              <w:rPr>
                <w:sz w:val="16"/>
                <w:szCs w:val="16"/>
              </w:rPr>
              <w:lastRenderedPageBreak/>
              <w:t xml:space="preserve">9949 adult patients </w:t>
            </w:r>
            <w:r>
              <w:rPr>
                <w:sz w:val="16"/>
                <w:szCs w:val="16"/>
              </w:rPr>
              <w:lastRenderedPageBreak/>
              <w:t>undergoing elective colectomy and receiving SCIP -recommended antibiotics</w:t>
            </w:r>
          </w:p>
        </w:tc>
        <w:tc>
          <w:tcPr>
            <w:tcW w:w="1843" w:type="dxa"/>
          </w:tcPr>
          <w:p w:rsidR="008A11F5" w:rsidRDefault="0014376F">
            <w:pPr>
              <w:rPr>
                <w:sz w:val="16"/>
                <w:szCs w:val="16"/>
              </w:rPr>
            </w:pPr>
            <w:r>
              <w:rPr>
                <w:sz w:val="16"/>
                <w:szCs w:val="16"/>
              </w:rPr>
              <w:lastRenderedPageBreak/>
              <w:t xml:space="preserve">Patients with no recorded antibiotic </w:t>
            </w:r>
            <w:r>
              <w:rPr>
                <w:sz w:val="16"/>
                <w:szCs w:val="16"/>
              </w:rPr>
              <w:lastRenderedPageBreak/>
              <w:t>information, no 30-day follow up or with additional antibiotics.</w:t>
            </w:r>
          </w:p>
        </w:tc>
        <w:tc>
          <w:tcPr>
            <w:tcW w:w="1243" w:type="dxa"/>
          </w:tcPr>
          <w:p w:rsidR="008A11F5" w:rsidRDefault="0014376F">
            <w:pPr>
              <w:rPr>
                <w:sz w:val="16"/>
                <w:szCs w:val="16"/>
              </w:rPr>
            </w:pPr>
            <w:r>
              <w:rPr>
                <w:sz w:val="16"/>
                <w:szCs w:val="16"/>
              </w:rPr>
              <w:lastRenderedPageBreak/>
              <w:t>30 days</w:t>
            </w:r>
          </w:p>
        </w:tc>
        <w:tc>
          <w:tcPr>
            <w:tcW w:w="1122" w:type="dxa"/>
          </w:tcPr>
          <w:p w:rsidR="008A11F5" w:rsidRDefault="0014376F">
            <w:pPr>
              <w:rPr>
                <w:sz w:val="16"/>
                <w:szCs w:val="16"/>
              </w:rPr>
            </w:pPr>
            <w:r>
              <w:rPr>
                <w:sz w:val="16"/>
                <w:szCs w:val="16"/>
              </w:rPr>
              <w:t xml:space="preserve">Not </w:t>
            </w:r>
            <w:r>
              <w:rPr>
                <w:sz w:val="16"/>
                <w:szCs w:val="16"/>
              </w:rPr>
              <w:lastRenderedPageBreak/>
              <w:t>specified.</w:t>
            </w:r>
          </w:p>
        </w:tc>
        <w:tc>
          <w:tcPr>
            <w:tcW w:w="1028" w:type="dxa"/>
          </w:tcPr>
          <w:p w:rsidR="008A11F5" w:rsidRDefault="0014376F">
            <w:pPr>
              <w:rPr>
                <w:sz w:val="16"/>
                <w:szCs w:val="16"/>
              </w:rPr>
            </w:pPr>
            <w:r>
              <w:rPr>
                <w:sz w:val="16"/>
                <w:szCs w:val="16"/>
              </w:rPr>
              <w:lastRenderedPageBreak/>
              <w:t xml:space="preserve">Both LPS and open </w:t>
            </w:r>
            <w:r>
              <w:rPr>
                <w:sz w:val="16"/>
                <w:szCs w:val="16"/>
              </w:rPr>
              <w:lastRenderedPageBreak/>
              <w:t>procedures were included.</w:t>
            </w:r>
          </w:p>
          <w:p w:rsidR="008A11F5" w:rsidRDefault="008A11F5">
            <w:pPr>
              <w:rPr>
                <w:sz w:val="16"/>
                <w:szCs w:val="16"/>
              </w:rPr>
            </w:pPr>
          </w:p>
        </w:tc>
      </w:tr>
      <w:tr w:rsidR="008A11F5">
        <w:trPr>
          <w:trHeight w:val="265"/>
        </w:trPr>
        <w:tc>
          <w:tcPr>
            <w:tcW w:w="959" w:type="dxa"/>
          </w:tcPr>
          <w:p w:rsidR="008A11F5" w:rsidRDefault="0014376F">
            <w:pPr>
              <w:rPr>
                <w:sz w:val="16"/>
                <w:szCs w:val="16"/>
              </w:rPr>
            </w:pPr>
            <w:proofErr w:type="spellStart"/>
            <w:r>
              <w:rPr>
                <w:sz w:val="16"/>
                <w:szCs w:val="16"/>
              </w:rPr>
              <w:lastRenderedPageBreak/>
              <w:t>Nutman</w:t>
            </w:r>
            <w:proofErr w:type="spellEnd"/>
            <w:r>
              <w:rPr>
                <w:sz w:val="16"/>
                <w:szCs w:val="16"/>
              </w:rPr>
              <w:t xml:space="preserve"> et al, 2019</w:t>
            </w:r>
          </w:p>
        </w:tc>
        <w:tc>
          <w:tcPr>
            <w:tcW w:w="890" w:type="dxa"/>
          </w:tcPr>
          <w:p w:rsidR="008A11F5" w:rsidRDefault="0014376F">
            <w:pPr>
              <w:rPr>
                <w:sz w:val="16"/>
                <w:szCs w:val="16"/>
              </w:rPr>
            </w:pPr>
            <w:r>
              <w:rPr>
                <w:sz w:val="16"/>
                <w:szCs w:val="16"/>
              </w:rPr>
              <w:t>Prospective non-randomized, non-blinded interventional study</w:t>
            </w:r>
          </w:p>
        </w:tc>
        <w:tc>
          <w:tcPr>
            <w:tcW w:w="1028" w:type="dxa"/>
          </w:tcPr>
          <w:p w:rsidR="008A11F5" w:rsidRDefault="0014376F">
            <w:pPr>
              <w:rPr>
                <w:sz w:val="16"/>
                <w:szCs w:val="16"/>
              </w:rPr>
            </w:pPr>
            <w:r>
              <w:rPr>
                <w:sz w:val="16"/>
                <w:szCs w:val="16"/>
              </w:rPr>
              <w:t>Israel, Switzerland and Serbia (multicentric: 3 hospitals)</w:t>
            </w:r>
          </w:p>
        </w:tc>
        <w:tc>
          <w:tcPr>
            <w:tcW w:w="842" w:type="dxa"/>
          </w:tcPr>
          <w:p w:rsidR="008A11F5" w:rsidRDefault="0014376F">
            <w:pPr>
              <w:rPr>
                <w:sz w:val="16"/>
                <w:szCs w:val="16"/>
              </w:rPr>
            </w:pPr>
            <w:r>
              <w:rPr>
                <w:sz w:val="16"/>
                <w:szCs w:val="16"/>
              </w:rPr>
              <w:t>2012-2017</w:t>
            </w:r>
          </w:p>
        </w:tc>
        <w:tc>
          <w:tcPr>
            <w:tcW w:w="1028" w:type="dxa"/>
          </w:tcPr>
          <w:p w:rsidR="008A11F5" w:rsidRDefault="0014376F">
            <w:pPr>
              <w:rPr>
                <w:sz w:val="16"/>
                <w:szCs w:val="16"/>
              </w:rPr>
            </w:pPr>
            <w:r>
              <w:rPr>
                <w:sz w:val="16"/>
                <w:szCs w:val="16"/>
              </w:rPr>
              <w:t>478 adult patients undergoing elective colorectal surgery.</w:t>
            </w:r>
          </w:p>
        </w:tc>
        <w:tc>
          <w:tcPr>
            <w:tcW w:w="1843" w:type="dxa"/>
          </w:tcPr>
          <w:p w:rsidR="008A11F5" w:rsidRDefault="0014376F">
            <w:pPr>
              <w:rPr>
                <w:sz w:val="16"/>
                <w:szCs w:val="16"/>
              </w:rPr>
            </w:pPr>
            <w:r>
              <w:rPr>
                <w:sz w:val="16"/>
                <w:szCs w:val="16"/>
              </w:rPr>
              <w:t>Patients with hypersensitivity or other contraindication to the study drugs, that could not be followed for 30 days post-surgery, or had a documented infection at the time of surgery that necessitated antibiotic treatment.</w:t>
            </w:r>
          </w:p>
        </w:tc>
        <w:tc>
          <w:tcPr>
            <w:tcW w:w="1243" w:type="dxa"/>
          </w:tcPr>
          <w:p w:rsidR="008A11F5" w:rsidRDefault="0014376F">
            <w:pPr>
              <w:rPr>
                <w:sz w:val="16"/>
                <w:szCs w:val="16"/>
              </w:rPr>
            </w:pPr>
            <w:r>
              <w:rPr>
                <w:sz w:val="16"/>
                <w:szCs w:val="16"/>
              </w:rPr>
              <w:t>30 days</w:t>
            </w:r>
          </w:p>
        </w:tc>
        <w:tc>
          <w:tcPr>
            <w:tcW w:w="1122" w:type="dxa"/>
          </w:tcPr>
          <w:p w:rsidR="008A11F5" w:rsidRDefault="0014376F">
            <w:pPr>
              <w:rPr>
                <w:sz w:val="16"/>
                <w:szCs w:val="16"/>
              </w:rPr>
            </w:pPr>
            <w:r>
              <w:rPr>
                <w:sz w:val="16"/>
                <w:szCs w:val="16"/>
              </w:rPr>
              <w:t>Single dose of IV ertapenem 1g up to 1 hour before surgery.</w:t>
            </w:r>
          </w:p>
        </w:tc>
        <w:tc>
          <w:tcPr>
            <w:tcW w:w="1028" w:type="dxa"/>
          </w:tcPr>
          <w:p w:rsidR="008A11F5" w:rsidRDefault="0014376F">
            <w:pPr>
              <w:rPr>
                <w:sz w:val="16"/>
                <w:szCs w:val="16"/>
              </w:rPr>
            </w:pPr>
            <w:r>
              <w:rPr>
                <w:sz w:val="16"/>
                <w:szCs w:val="16"/>
              </w:rPr>
              <w:t xml:space="preserve">Screening for ESBL-PE carriage and personalized prophylaxis: ESBL-PE carriers received ertapenem. </w:t>
            </w:r>
          </w:p>
        </w:tc>
      </w:tr>
    </w:tbl>
    <w:p w:rsidR="008A11F5" w:rsidRDefault="0014376F">
      <w:r>
        <w:t>*Authors which provided further information upon request.</w:t>
      </w:r>
      <w:r>
        <w:br w:type="page"/>
      </w:r>
    </w:p>
    <w:p w:rsidR="008A11F5" w:rsidRDefault="00E32DE5">
      <w:r>
        <w:rPr>
          <w:b/>
        </w:rPr>
        <w:lastRenderedPageBreak/>
        <w:t xml:space="preserve">Suppl. </w:t>
      </w:r>
      <w:r w:rsidR="0014376F">
        <w:rPr>
          <w:b/>
        </w:rPr>
        <w:t>Table 2</w:t>
      </w:r>
      <w:r w:rsidR="0014376F">
        <w:t>. Results of included studies.</w:t>
      </w:r>
    </w:p>
    <w:tbl>
      <w:tblPr>
        <w:tblStyle w:val="a0"/>
        <w:tblW w:w="10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11"/>
        <w:gridCol w:w="1722"/>
        <w:gridCol w:w="1953"/>
        <w:gridCol w:w="2297"/>
        <w:gridCol w:w="2297"/>
      </w:tblGrid>
      <w:tr w:rsidR="008A11F5">
        <w:trPr>
          <w:trHeight w:val="998"/>
        </w:trPr>
        <w:tc>
          <w:tcPr>
            <w:tcW w:w="1811" w:type="dxa"/>
          </w:tcPr>
          <w:p w:rsidR="008A11F5" w:rsidRDefault="0014376F">
            <w:r>
              <w:t>Reference</w:t>
            </w:r>
          </w:p>
        </w:tc>
        <w:tc>
          <w:tcPr>
            <w:tcW w:w="1722" w:type="dxa"/>
          </w:tcPr>
          <w:p w:rsidR="008A11F5" w:rsidRDefault="0014376F">
            <w:r>
              <w:t>Outcome 1 – Sample size, n of patients receiving ertapenem</w:t>
            </w:r>
          </w:p>
        </w:tc>
        <w:tc>
          <w:tcPr>
            <w:tcW w:w="1953" w:type="dxa"/>
          </w:tcPr>
          <w:p w:rsidR="008A11F5" w:rsidRDefault="0014376F">
            <w:r>
              <w:t xml:space="preserve">Outcome 1 – n of SSIs in patients receiving ertapenem </w:t>
            </w:r>
          </w:p>
        </w:tc>
        <w:tc>
          <w:tcPr>
            <w:tcW w:w="2297" w:type="dxa"/>
          </w:tcPr>
          <w:p w:rsidR="008A11F5" w:rsidRDefault="0014376F">
            <w:r>
              <w:t>Outcome 2 – Sample size, n of micro-organisms isolated and tested for resistance (ertapenem group)</w:t>
            </w:r>
          </w:p>
        </w:tc>
        <w:tc>
          <w:tcPr>
            <w:tcW w:w="2297" w:type="dxa"/>
          </w:tcPr>
          <w:p w:rsidR="008A11F5" w:rsidRDefault="0014376F">
            <w:r>
              <w:t>Outcome 2 – Resistant isolates (ertapenem group)</w:t>
            </w:r>
          </w:p>
        </w:tc>
      </w:tr>
      <w:tr w:rsidR="008A11F5">
        <w:trPr>
          <w:trHeight w:val="433"/>
        </w:trPr>
        <w:tc>
          <w:tcPr>
            <w:tcW w:w="1811" w:type="dxa"/>
          </w:tcPr>
          <w:p w:rsidR="008A11F5" w:rsidRDefault="0014376F">
            <w:proofErr w:type="spellStart"/>
            <w:r>
              <w:t>Leng</w:t>
            </w:r>
            <w:proofErr w:type="spellEnd"/>
            <w:r>
              <w:t xml:space="preserve"> et al, 2014</w:t>
            </w:r>
          </w:p>
        </w:tc>
        <w:tc>
          <w:tcPr>
            <w:tcW w:w="1722" w:type="dxa"/>
          </w:tcPr>
          <w:p w:rsidR="008A11F5" w:rsidRDefault="0014376F">
            <w:r>
              <w:t>251</w:t>
            </w:r>
          </w:p>
        </w:tc>
        <w:tc>
          <w:tcPr>
            <w:tcW w:w="1953" w:type="dxa"/>
          </w:tcPr>
          <w:p w:rsidR="008A11F5" w:rsidRDefault="0014376F">
            <w:r>
              <w:t>5</w:t>
            </w:r>
          </w:p>
        </w:tc>
        <w:tc>
          <w:tcPr>
            <w:tcW w:w="2297" w:type="dxa"/>
          </w:tcPr>
          <w:p w:rsidR="008A11F5" w:rsidRDefault="0014376F">
            <w:r>
              <w:t>No data on susceptibility testing.</w:t>
            </w:r>
          </w:p>
        </w:tc>
        <w:tc>
          <w:tcPr>
            <w:tcW w:w="2297" w:type="dxa"/>
          </w:tcPr>
          <w:p w:rsidR="008A11F5" w:rsidRDefault="0014376F">
            <w:r>
              <w:t>No data on susceptibility testing.</w:t>
            </w:r>
          </w:p>
        </w:tc>
      </w:tr>
      <w:tr w:rsidR="008A11F5">
        <w:trPr>
          <w:trHeight w:val="433"/>
        </w:trPr>
        <w:tc>
          <w:tcPr>
            <w:tcW w:w="1811" w:type="dxa"/>
          </w:tcPr>
          <w:p w:rsidR="008A11F5" w:rsidRDefault="0014376F">
            <w:proofErr w:type="spellStart"/>
            <w:r>
              <w:t>Deierhoi</w:t>
            </w:r>
            <w:proofErr w:type="spellEnd"/>
            <w:r>
              <w:t xml:space="preserve"> et al, 2013</w:t>
            </w:r>
          </w:p>
        </w:tc>
        <w:tc>
          <w:tcPr>
            <w:tcW w:w="1722" w:type="dxa"/>
          </w:tcPr>
          <w:p w:rsidR="008A11F5" w:rsidRDefault="0014376F">
            <w:r>
              <w:t>249</w:t>
            </w:r>
          </w:p>
        </w:tc>
        <w:tc>
          <w:tcPr>
            <w:tcW w:w="1953" w:type="dxa"/>
          </w:tcPr>
          <w:p w:rsidR="008A11F5" w:rsidRDefault="0014376F">
            <w:r>
              <w:t>36</w:t>
            </w:r>
          </w:p>
        </w:tc>
        <w:tc>
          <w:tcPr>
            <w:tcW w:w="2297" w:type="dxa"/>
          </w:tcPr>
          <w:p w:rsidR="008A11F5" w:rsidRDefault="0014376F">
            <w:r>
              <w:t>No culture data.</w:t>
            </w:r>
          </w:p>
        </w:tc>
        <w:tc>
          <w:tcPr>
            <w:tcW w:w="2297" w:type="dxa"/>
          </w:tcPr>
          <w:p w:rsidR="008A11F5" w:rsidRDefault="0014376F">
            <w:r>
              <w:t>No culture data.</w:t>
            </w:r>
          </w:p>
        </w:tc>
      </w:tr>
      <w:tr w:rsidR="008A11F5">
        <w:trPr>
          <w:trHeight w:val="414"/>
        </w:trPr>
        <w:tc>
          <w:tcPr>
            <w:tcW w:w="1811" w:type="dxa"/>
          </w:tcPr>
          <w:p w:rsidR="008A11F5" w:rsidRDefault="0014376F">
            <w:proofErr w:type="spellStart"/>
            <w:r>
              <w:t>Itani</w:t>
            </w:r>
            <w:proofErr w:type="spellEnd"/>
            <w:r>
              <w:t xml:space="preserve"> et al, 2006</w:t>
            </w:r>
          </w:p>
        </w:tc>
        <w:tc>
          <w:tcPr>
            <w:tcW w:w="1722" w:type="dxa"/>
          </w:tcPr>
          <w:p w:rsidR="008A11F5" w:rsidRDefault="0014376F">
            <w:r>
              <w:t>338</w:t>
            </w:r>
          </w:p>
        </w:tc>
        <w:tc>
          <w:tcPr>
            <w:tcW w:w="1953" w:type="dxa"/>
          </w:tcPr>
          <w:p w:rsidR="008A11F5" w:rsidRDefault="0014376F">
            <w:r>
              <w:t>62</w:t>
            </w:r>
          </w:p>
        </w:tc>
        <w:tc>
          <w:tcPr>
            <w:tcW w:w="2297" w:type="dxa"/>
          </w:tcPr>
          <w:p w:rsidR="008A11F5" w:rsidRDefault="0014376F">
            <w:r>
              <w:t>92</w:t>
            </w:r>
          </w:p>
        </w:tc>
        <w:tc>
          <w:tcPr>
            <w:tcW w:w="2297" w:type="dxa"/>
          </w:tcPr>
          <w:p w:rsidR="008A11F5" w:rsidRDefault="0014376F">
            <w:r>
              <w:t>1/11 tested</w:t>
            </w:r>
          </w:p>
        </w:tc>
      </w:tr>
      <w:tr w:rsidR="008A11F5">
        <w:trPr>
          <w:trHeight w:val="433"/>
        </w:trPr>
        <w:tc>
          <w:tcPr>
            <w:tcW w:w="1811" w:type="dxa"/>
          </w:tcPr>
          <w:p w:rsidR="008A11F5" w:rsidRDefault="0014376F">
            <w:r>
              <w:t>Kuriakose et al, 2019</w:t>
            </w:r>
          </w:p>
        </w:tc>
        <w:tc>
          <w:tcPr>
            <w:tcW w:w="1722" w:type="dxa"/>
          </w:tcPr>
          <w:p w:rsidR="008A11F5" w:rsidRDefault="0014376F">
            <w:r>
              <w:t>2117</w:t>
            </w:r>
          </w:p>
        </w:tc>
        <w:tc>
          <w:tcPr>
            <w:tcW w:w="1953" w:type="dxa"/>
          </w:tcPr>
          <w:p w:rsidR="008A11F5" w:rsidRDefault="0014376F">
            <w:r>
              <w:t>143*</w:t>
            </w:r>
          </w:p>
        </w:tc>
        <w:tc>
          <w:tcPr>
            <w:tcW w:w="2297" w:type="dxa"/>
          </w:tcPr>
          <w:p w:rsidR="008A11F5" w:rsidRDefault="0014376F">
            <w:r>
              <w:t>No culture data.</w:t>
            </w:r>
          </w:p>
        </w:tc>
        <w:tc>
          <w:tcPr>
            <w:tcW w:w="2297" w:type="dxa"/>
          </w:tcPr>
          <w:p w:rsidR="008A11F5" w:rsidRDefault="0014376F">
            <w:r>
              <w:t>No culture data.</w:t>
            </w:r>
          </w:p>
        </w:tc>
      </w:tr>
      <w:tr w:rsidR="008A11F5">
        <w:trPr>
          <w:trHeight w:val="453"/>
        </w:trPr>
        <w:tc>
          <w:tcPr>
            <w:tcW w:w="1811" w:type="dxa"/>
          </w:tcPr>
          <w:p w:rsidR="008A11F5" w:rsidRDefault="0014376F">
            <w:proofErr w:type="spellStart"/>
            <w:r>
              <w:t>Nutman</w:t>
            </w:r>
            <w:proofErr w:type="spellEnd"/>
            <w:r>
              <w:t xml:space="preserve"> et al, 2019</w:t>
            </w:r>
          </w:p>
        </w:tc>
        <w:tc>
          <w:tcPr>
            <w:tcW w:w="1722" w:type="dxa"/>
          </w:tcPr>
          <w:p w:rsidR="008A11F5" w:rsidRDefault="0014376F">
            <w:r>
              <w:t>221</w:t>
            </w:r>
          </w:p>
        </w:tc>
        <w:tc>
          <w:tcPr>
            <w:tcW w:w="1953" w:type="dxa"/>
          </w:tcPr>
          <w:p w:rsidR="008A11F5" w:rsidRDefault="0014376F">
            <w:r>
              <w:t>35</w:t>
            </w:r>
          </w:p>
        </w:tc>
        <w:tc>
          <w:tcPr>
            <w:tcW w:w="2297" w:type="dxa"/>
          </w:tcPr>
          <w:p w:rsidR="008A11F5" w:rsidRDefault="0014376F">
            <w:r>
              <w:t>No data on carbapenem resistance.</w:t>
            </w:r>
          </w:p>
        </w:tc>
        <w:tc>
          <w:tcPr>
            <w:tcW w:w="2297" w:type="dxa"/>
          </w:tcPr>
          <w:p w:rsidR="008A11F5" w:rsidRDefault="0014376F">
            <w:r>
              <w:t>No data on carbapenem resistance.</w:t>
            </w:r>
          </w:p>
        </w:tc>
      </w:tr>
    </w:tbl>
    <w:p w:rsidR="00180F9F" w:rsidRDefault="0014376F">
      <w:r>
        <w:t>*Information provided upon request.</w:t>
      </w:r>
    </w:p>
    <w:p w:rsidR="00180F9F" w:rsidRDefault="00180F9F">
      <w:r>
        <w:br w:type="page"/>
      </w:r>
    </w:p>
    <w:p w:rsidR="008A11F5" w:rsidRPr="00A11A6A" w:rsidRDefault="00180F9F">
      <w:pPr>
        <w:rPr>
          <w:b/>
          <w:bCs/>
        </w:rPr>
      </w:pPr>
      <w:r w:rsidRPr="00A11A6A">
        <w:rPr>
          <w:b/>
          <w:bCs/>
        </w:rPr>
        <w:lastRenderedPageBreak/>
        <w:t>References</w:t>
      </w:r>
    </w:p>
    <w:p w:rsidR="00180F9F" w:rsidRDefault="00180F9F" w:rsidP="00180F9F">
      <w:pPr>
        <w:ind w:left="720"/>
      </w:pPr>
      <w:proofErr w:type="spellStart"/>
      <w:r w:rsidRPr="002C51E9">
        <w:t>Deierhoi</w:t>
      </w:r>
      <w:proofErr w:type="spellEnd"/>
      <w:r w:rsidRPr="002C51E9">
        <w:t xml:space="preserve"> RJ, Dawes LG, Vick C</w:t>
      </w:r>
      <w:r>
        <w:t xml:space="preserve"> </w:t>
      </w:r>
      <w:r w:rsidRPr="00BB2DEF">
        <w:rPr>
          <w:i/>
          <w:iCs/>
        </w:rPr>
        <w:t>et al</w:t>
      </w:r>
      <w:r w:rsidRPr="002C51E9">
        <w:t xml:space="preserve">. Choice of intravenous antibiotic prophylaxis for colorectal surgery does matter. </w:t>
      </w:r>
      <w:r w:rsidRPr="002C51E9">
        <w:rPr>
          <w:i/>
        </w:rPr>
        <w:t xml:space="preserve">J Am </w:t>
      </w:r>
      <w:proofErr w:type="spellStart"/>
      <w:r w:rsidRPr="002C51E9">
        <w:rPr>
          <w:i/>
        </w:rPr>
        <w:t>Coll</w:t>
      </w:r>
      <w:proofErr w:type="spellEnd"/>
      <w:r w:rsidRPr="002C51E9">
        <w:rPr>
          <w:i/>
        </w:rPr>
        <w:t xml:space="preserve"> </w:t>
      </w:r>
      <w:proofErr w:type="spellStart"/>
      <w:r w:rsidRPr="002C51E9">
        <w:rPr>
          <w:i/>
        </w:rPr>
        <w:t>Surg</w:t>
      </w:r>
      <w:proofErr w:type="spellEnd"/>
      <w:r w:rsidRPr="002C51E9">
        <w:t xml:space="preserve"> 2013; 217: 763–9.</w:t>
      </w:r>
    </w:p>
    <w:p w:rsidR="00180F9F" w:rsidRDefault="00180F9F" w:rsidP="00180F9F">
      <w:pPr>
        <w:ind w:left="720"/>
      </w:pPr>
      <w:proofErr w:type="spellStart"/>
      <w:r w:rsidRPr="00C87D22">
        <w:rPr>
          <w:lang w:val="fr-FR"/>
        </w:rPr>
        <w:t>Itani</w:t>
      </w:r>
      <w:proofErr w:type="spellEnd"/>
      <w:r w:rsidRPr="00C87D22">
        <w:rPr>
          <w:lang w:val="fr-FR"/>
        </w:rPr>
        <w:t xml:space="preserve"> KMF, Wilson SE, </w:t>
      </w:r>
      <w:proofErr w:type="spellStart"/>
      <w:r w:rsidRPr="00C87D22">
        <w:rPr>
          <w:lang w:val="fr-FR"/>
        </w:rPr>
        <w:t>Awad</w:t>
      </w:r>
      <w:proofErr w:type="spellEnd"/>
      <w:r w:rsidRPr="00C87D22">
        <w:rPr>
          <w:lang w:val="fr-FR"/>
        </w:rPr>
        <w:t xml:space="preserve"> SS </w:t>
      </w:r>
      <w:r w:rsidRPr="00C87D22">
        <w:rPr>
          <w:i/>
          <w:iCs/>
          <w:lang w:val="fr-FR"/>
        </w:rPr>
        <w:t>et al</w:t>
      </w:r>
      <w:r w:rsidRPr="00C87D22">
        <w:rPr>
          <w:lang w:val="fr-FR"/>
        </w:rPr>
        <w:t xml:space="preserve">. </w:t>
      </w:r>
      <w:r w:rsidRPr="002C51E9">
        <w:t xml:space="preserve">Ertapenem versus cefotetan prophylaxis in elective colorectal surgery. </w:t>
      </w:r>
      <w:r w:rsidRPr="002C51E9">
        <w:rPr>
          <w:i/>
        </w:rPr>
        <w:t xml:space="preserve">N </w:t>
      </w:r>
      <w:proofErr w:type="spellStart"/>
      <w:r w:rsidRPr="002C51E9">
        <w:rPr>
          <w:i/>
        </w:rPr>
        <w:t>Engl</w:t>
      </w:r>
      <w:proofErr w:type="spellEnd"/>
      <w:r w:rsidRPr="002C51E9">
        <w:rPr>
          <w:i/>
        </w:rPr>
        <w:t xml:space="preserve"> J Med</w:t>
      </w:r>
      <w:r w:rsidRPr="002C51E9">
        <w:t xml:space="preserve"> 2006; 355: 2640–51.</w:t>
      </w:r>
    </w:p>
    <w:p w:rsidR="00180F9F" w:rsidRPr="00E32DE5" w:rsidRDefault="00180F9F" w:rsidP="00180F9F">
      <w:pPr>
        <w:ind w:left="720"/>
        <w:rPr>
          <w:lang w:val="en-US"/>
        </w:rPr>
      </w:pPr>
      <w:r>
        <w:t xml:space="preserve">Kuriakose JP, Vu J, </w:t>
      </w:r>
      <w:proofErr w:type="spellStart"/>
      <w:r>
        <w:t>Karmakar</w:t>
      </w:r>
      <w:proofErr w:type="spellEnd"/>
      <w:r>
        <w:t xml:space="preserve"> M, </w:t>
      </w:r>
      <w:r>
        <w:rPr>
          <w:i/>
        </w:rPr>
        <w:t>et al.</w:t>
      </w:r>
      <w:r>
        <w:t xml:space="preserve"> β-Lactam vs Non-β-Lactam Antibiotics and Surgical Site Infection in Colectomy Patients. </w:t>
      </w:r>
      <w:r w:rsidRPr="00E32DE5">
        <w:rPr>
          <w:i/>
          <w:lang w:val="en-US"/>
        </w:rPr>
        <w:t xml:space="preserve">J Am </w:t>
      </w:r>
      <w:proofErr w:type="spellStart"/>
      <w:r w:rsidRPr="00E32DE5">
        <w:rPr>
          <w:i/>
          <w:lang w:val="en-US"/>
        </w:rPr>
        <w:t>Coll</w:t>
      </w:r>
      <w:proofErr w:type="spellEnd"/>
      <w:r w:rsidRPr="00E32DE5">
        <w:rPr>
          <w:i/>
          <w:lang w:val="en-US"/>
        </w:rPr>
        <w:t xml:space="preserve"> </w:t>
      </w:r>
      <w:proofErr w:type="spellStart"/>
      <w:r w:rsidRPr="00E32DE5">
        <w:rPr>
          <w:i/>
          <w:lang w:val="en-US"/>
        </w:rPr>
        <w:t>Surg</w:t>
      </w:r>
      <w:proofErr w:type="spellEnd"/>
      <w:r w:rsidRPr="00E32DE5">
        <w:rPr>
          <w:lang w:val="en-US"/>
        </w:rPr>
        <w:t xml:space="preserve"> 2019;</w:t>
      </w:r>
      <w:r w:rsidRPr="00E32DE5">
        <w:rPr>
          <w:bCs/>
          <w:lang w:val="en-US"/>
        </w:rPr>
        <w:t xml:space="preserve"> 229</w:t>
      </w:r>
      <w:r w:rsidRPr="00E32DE5">
        <w:rPr>
          <w:lang w:val="en-US"/>
        </w:rPr>
        <w:t>: 487-496.e2.</w:t>
      </w:r>
    </w:p>
    <w:p w:rsidR="00180F9F" w:rsidRDefault="00180F9F" w:rsidP="00180F9F">
      <w:pPr>
        <w:ind w:left="720"/>
      </w:pPr>
      <w:proofErr w:type="spellStart"/>
      <w:r w:rsidRPr="00E32DE5">
        <w:rPr>
          <w:lang w:val="en-US"/>
        </w:rPr>
        <w:t>Leng</w:t>
      </w:r>
      <w:proofErr w:type="spellEnd"/>
      <w:r w:rsidRPr="00E32DE5">
        <w:rPr>
          <w:lang w:val="en-US"/>
        </w:rPr>
        <w:t xml:space="preserve"> XS, Zhao YJ, </w:t>
      </w:r>
      <w:proofErr w:type="spellStart"/>
      <w:r w:rsidRPr="00E32DE5">
        <w:rPr>
          <w:lang w:val="en-US"/>
        </w:rPr>
        <w:t>Qiu</w:t>
      </w:r>
      <w:proofErr w:type="spellEnd"/>
      <w:r w:rsidRPr="00E32DE5">
        <w:rPr>
          <w:lang w:val="en-US"/>
        </w:rPr>
        <w:t xml:space="preserve"> HZ, </w:t>
      </w:r>
      <w:r w:rsidRPr="00E32DE5">
        <w:rPr>
          <w:i/>
          <w:lang w:val="en-US"/>
        </w:rPr>
        <w:t>et al.</w:t>
      </w:r>
      <w:r w:rsidRPr="00E32DE5">
        <w:rPr>
          <w:lang w:val="en-US"/>
        </w:rPr>
        <w:t xml:space="preserve"> </w:t>
      </w:r>
      <w:proofErr w:type="spellStart"/>
      <w:r w:rsidRPr="002C51E9">
        <w:t>Ertapenem</w:t>
      </w:r>
      <w:proofErr w:type="spellEnd"/>
      <w:r w:rsidRPr="002C51E9">
        <w:t xml:space="preserve"> prophylaxis of surgical site infections in elective colorectal surgery in China: A multicentre, randomized, double-blind, active-controlled study. </w:t>
      </w:r>
      <w:r w:rsidRPr="002C51E9">
        <w:rPr>
          <w:i/>
        </w:rPr>
        <w:t xml:space="preserve">J </w:t>
      </w:r>
      <w:proofErr w:type="spellStart"/>
      <w:r w:rsidRPr="002C51E9">
        <w:rPr>
          <w:i/>
        </w:rPr>
        <w:t>Antimicrob</w:t>
      </w:r>
      <w:proofErr w:type="spellEnd"/>
      <w:r w:rsidRPr="002C51E9">
        <w:rPr>
          <w:i/>
        </w:rPr>
        <w:t xml:space="preserve"> </w:t>
      </w:r>
      <w:proofErr w:type="spellStart"/>
      <w:r w:rsidRPr="002C51E9">
        <w:rPr>
          <w:i/>
        </w:rPr>
        <w:t>Chemother</w:t>
      </w:r>
      <w:proofErr w:type="spellEnd"/>
      <w:r w:rsidRPr="002C51E9">
        <w:t xml:space="preserve"> 2014; 69: 3379–86.</w:t>
      </w:r>
    </w:p>
    <w:p w:rsidR="00180F9F" w:rsidRDefault="00180F9F" w:rsidP="00180F9F">
      <w:pPr>
        <w:ind w:left="720"/>
      </w:pPr>
      <w:proofErr w:type="spellStart"/>
      <w:r w:rsidRPr="002C51E9">
        <w:t>Nutman</w:t>
      </w:r>
      <w:proofErr w:type="spellEnd"/>
      <w:r w:rsidRPr="002C51E9">
        <w:t xml:space="preserve"> A, </w:t>
      </w:r>
      <w:proofErr w:type="spellStart"/>
      <w:r w:rsidRPr="002C51E9">
        <w:t>Temkin</w:t>
      </w:r>
      <w:proofErr w:type="spellEnd"/>
      <w:r w:rsidRPr="002C51E9">
        <w:t xml:space="preserve"> E, </w:t>
      </w:r>
      <w:proofErr w:type="spellStart"/>
      <w:r w:rsidRPr="002C51E9">
        <w:t>Harbarth</w:t>
      </w:r>
      <w:proofErr w:type="spellEnd"/>
      <w:r w:rsidRPr="002C51E9">
        <w:t xml:space="preserve"> S, </w:t>
      </w:r>
      <w:r w:rsidRPr="002C51E9">
        <w:rPr>
          <w:i/>
        </w:rPr>
        <w:t>et al.</w:t>
      </w:r>
      <w:r w:rsidRPr="002C51E9">
        <w:t xml:space="preserve"> Personalized Ertapenem Prophylaxis for Carriers of Extended-spectrum β-Lactamase-producing Enterobacteriaceae Undergoing Colorectal Surgery. </w:t>
      </w:r>
      <w:r w:rsidRPr="002C51E9">
        <w:rPr>
          <w:i/>
        </w:rPr>
        <w:t>Clin Infect Dis</w:t>
      </w:r>
      <w:r w:rsidRPr="002C51E9">
        <w:t xml:space="preserve"> 2020; 70: 1891–7.</w:t>
      </w:r>
    </w:p>
    <w:sectPr w:rsidR="00180F9F" w:rsidSect="008F3AF7">
      <w:pgSz w:w="11906" w:h="16838"/>
      <w:pgMar w:top="1417"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6A56"/>
    <w:multiLevelType w:val="multilevel"/>
    <w:tmpl w:val="8C62F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B100CD6"/>
    <w:multiLevelType w:val="multilevel"/>
    <w:tmpl w:val="2BE0976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compat/>
  <w:rsids>
    <w:rsidRoot w:val="008A11F5"/>
    <w:rsid w:val="0014376F"/>
    <w:rsid w:val="00180F9F"/>
    <w:rsid w:val="00237FBD"/>
    <w:rsid w:val="008A11F5"/>
    <w:rsid w:val="008F3AF7"/>
    <w:rsid w:val="00A11A6A"/>
    <w:rsid w:val="00B71510"/>
    <w:rsid w:val="00E32DE5"/>
    <w:rsid w:val="00ED10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it-IT"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5AE3"/>
  </w:style>
  <w:style w:type="paragraph" w:styleId="Titolo1">
    <w:name w:val="heading 1"/>
    <w:basedOn w:val="Normale"/>
    <w:next w:val="Normale"/>
    <w:rsid w:val="008F3AF7"/>
    <w:pPr>
      <w:keepNext/>
      <w:keepLines/>
      <w:spacing w:before="480" w:after="120"/>
      <w:outlineLvl w:val="0"/>
    </w:pPr>
    <w:rPr>
      <w:b/>
      <w:sz w:val="48"/>
      <w:szCs w:val="48"/>
    </w:rPr>
  </w:style>
  <w:style w:type="paragraph" w:styleId="Titolo2">
    <w:name w:val="heading 2"/>
    <w:basedOn w:val="Normale"/>
    <w:next w:val="Normale"/>
    <w:rsid w:val="008F3AF7"/>
    <w:pPr>
      <w:keepNext/>
      <w:keepLines/>
      <w:spacing w:before="360" w:after="80"/>
      <w:outlineLvl w:val="1"/>
    </w:pPr>
    <w:rPr>
      <w:b/>
      <w:sz w:val="36"/>
      <w:szCs w:val="36"/>
    </w:rPr>
  </w:style>
  <w:style w:type="paragraph" w:styleId="Titolo3">
    <w:name w:val="heading 3"/>
    <w:basedOn w:val="Normale"/>
    <w:next w:val="Normale"/>
    <w:rsid w:val="008F3AF7"/>
    <w:pPr>
      <w:keepNext/>
      <w:keepLines/>
      <w:spacing w:before="280" w:after="80"/>
      <w:outlineLvl w:val="2"/>
    </w:pPr>
    <w:rPr>
      <w:b/>
      <w:sz w:val="28"/>
      <w:szCs w:val="28"/>
    </w:rPr>
  </w:style>
  <w:style w:type="paragraph" w:styleId="Titolo4">
    <w:name w:val="heading 4"/>
    <w:basedOn w:val="Normale"/>
    <w:next w:val="Normale"/>
    <w:rsid w:val="008F3AF7"/>
    <w:pPr>
      <w:keepNext/>
      <w:keepLines/>
      <w:spacing w:before="240" w:after="40"/>
      <w:outlineLvl w:val="3"/>
    </w:pPr>
    <w:rPr>
      <w:b/>
    </w:rPr>
  </w:style>
  <w:style w:type="paragraph" w:styleId="Titolo5">
    <w:name w:val="heading 5"/>
    <w:basedOn w:val="Normale"/>
    <w:next w:val="Normale"/>
    <w:rsid w:val="008F3AF7"/>
    <w:pPr>
      <w:keepNext/>
      <w:keepLines/>
      <w:spacing w:before="220" w:after="40"/>
      <w:outlineLvl w:val="4"/>
    </w:pPr>
    <w:rPr>
      <w:b/>
      <w:sz w:val="22"/>
      <w:szCs w:val="22"/>
    </w:rPr>
  </w:style>
  <w:style w:type="paragraph" w:styleId="Titolo6">
    <w:name w:val="heading 6"/>
    <w:basedOn w:val="Normale"/>
    <w:next w:val="Normale"/>
    <w:rsid w:val="008F3AF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8F3AF7"/>
    <w:tblPr>
      <w:tblCellMar>
        <w:top w:w="0" w:type="dxa"/>
        <w:left w:w="0" w:type="dxa"/>
        <w:bottom w:w="0" w:type="dxa"/>
        <w:right w:w="0" w:type="dxa"/>
      </w:tblCellMar>
    </w:tblPr>
  </w:style>
  <w:style w:type="paragraph" w:styleId="Titolo">
    <w:name w:val="Title"/>
    <w:basedOn w:val="Normale"/>
    <w:next w:val="Normale"/>
    <w:rsid w:val="008F3AF7"/>
    <w:pPr>
      <w:keepNext/>
      <w:keepLines/>
      <w:spacing w:before="480" w:after="120"/>
    </w:pPr>
    <w:rPr>
      <w:b/>
      <w:sz w:val="72"/>
      <w:szCs w:val="72"/>
    </w:rPr>
  </w:style>
  <w:style w:type="paragraph" w:styleId="Paragrafoelenco">
    <w:name w:val="List Paragraph"/>
    <w:basedOn w:val="Normale"/>
    <w:uiPriority w:val="34"/>
    <w:qFormat/>
    <w:rsid w:val="006F0BD6"/>
    <w:pPr>
      <w:ind w:left="720"/>
      <w:contextualSpacing/>
    </w:pPr>
  </w:style>
  <w:style w:type="paragraph" w:styleId="Testofumetto">
    <w:name w:val="Balloon Text"/>
    <w:basedOn w:val="Normale"/>
    <w:link w:val="TestofumettoCarattere"/>
    <w:uiPriority w:val="99"/>
    <w:semiHidden/>
    <w:unhideWhenUsed/>
    <w:rsid w:val="00A8067C"/>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067C"/>
    <w:rPr>
      <w:rFonts w:ascii="Tahoma" w:hAnsi="Tahoma" w:cs="Tahoma"/>
      <w:sz w:val="16"/>
      <w:szCs w:val="16"/>
    </w:rPr>
  </w:style>
  <w:style w:type="character" w:styleId="Rimandocommento">
    <w:name w:val="annotation reference"/>
    <w:basedOn w:val="Carpredefinitoparagrafo"/>
    <w:uiPriority w:val="99"/>
    <w:semiHidden/>
    <w:unhideWhenUsed/>
    <w:rsid w:val="00CB2140"/>
    <w:rPr>
      <w:sz w:val="16"/>
      <w:szCs w:val="16"/>
    </w:rPr>
  </w:style>
  <w:style w:type="paragraph" w:styleId="Testocommento">
    <w:name w:val="annotation text"/>
    <w:basedOn w:val="Normale"/>
    <w:link w:val="TestocommentoCarattere"/>
    <w:uiPriority w:val="99"/>
    <w:semiHidden/>
    <w:unhideWhenUsed/>
    <w:rsid w:val="00CB2140"/>
    <w:rPr>
      <w:sz w:val="20"/>
      <w:szCs w:val="20"/>
    </w:rPr>
  </w:style>
  <w:style w:type="character" w:customStyle="1" w:styleId="TestocommentoCarattere">
    <w:name w:val="Testo commento Carattere"/>
    <w:basedOn w:val="Carpredefinitoparagrafo"/>
    <w:link w:val="Testocommento"/>
    <w:uiPriority w:val="99"/>
    <w:semiHidden/>
    <w:rsid w:val="00CB2140"/>
    <w:rPr>
      <w:sz w:val="20"/>
      <w:szCs w:val="20"/>
    </w:rPr>
  </w:style>
  <w:style w:type="paragraph" w:styleId="Soggettocommento">
    <w:name w:val="annotation subject"/>
    <w:basedOn w:val="Testocommento"/>
    <w:next w:val="Testocommento"/>
    <w:link w:val="SoggettocommentoCarattere"/>
    <w:uiPriority w:val="99"/>
    <w:semiHidden/>
    <w:unhideWhenUsed/>
    <w:rsid w:val="00CB2140"/>
    <w:rPr>
      <w:b/>
      <w:bCs/>
    </w:rPr>
  </w:style>
  <w:style w:type="character" w:customStyle="1" w:styleId="SoggettocommentoCarattere">
    <w:name w:val="Soggetto commento Carattere"/>
    <w:basedOn w:val="TestocommentoCarattere"/>
    <w:link w:val="Soggettocommento"/>
    <w:uiPriority w:val="99"/>
    <w:semiHidden/>
    <w:rsid w:val="00CB2140"/>
    <w:rPr>
      <w:b/>
      <w:bCs/>
      <w:sz w:val="20"/>
      <w:szCs w:val="20"/>
    </w:rPr>
  </w:style>
  <w:style w:type="paragraph" w:styleId="Sottotitolo">
    <w:name w:val="Subtitle"/>
    <w:basedOn w:val="Normale"/>
    <w:next w:val="Normale"/>
    <w:rsid w:val="008F3AF7"/>
    <w:pPr>
      <w:keepNext/>
      <w:keepLines/>
      <w:spacing w:before="360" w:after="80"/>
    </w:pPr>
    <w:rPr>
      <w:rFonts w:ascii="Georgia" w:eastAsia="Georgia" w:hAnsi="Georgia" w:cs="Georgia"/>
      <w:i/>
      <w:color w:val="666666"/>
      <w:sz w:val="48"/>
      <w:szCs w:val="48"/>
    </w:rPr>
  </w:style>
  <w:style w:type="table" w:customStyle="1" w:styleId="a">
    <w:basedOn w:val="TableNormal"/>
    <w:rsid w:val="008F3AF7"/>
    <w:tblPr>
      <w:tblStyleRowBandSize w:val="1"/>
      <w:tblStyleColBandSize w:val="1"/>
      <w:tblCellMar>
        <w:top w:w="0" w:type="dxa"/>
        <w:left w:w="115" w:type="dxa"/>
        <w:bottom w:w="0" w:type="dxa"/>
        <w:right w:w="115" w:type="dxa"/>
      </w:tblCellMar>
    </w:tblPr>
  </w:style>
  <w:style w:type="table" w:customStyle="1" w:styleId="a0">
    <w:basedOn w:val="TableNormal"/>
    <w:rsid w:val="008F3AF7"/>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oaSdgsIXowIrxhcTxachUR/OFQ==">AMUW2mVx05o5LY5OGZfTWIUd0BbzDVIBZ5pgBID2UMAn3DqliFLrVX0JdY9Uv8HbtyulGjXaTVopUBAR1Osg9nIMmiEl0eIO62RZa/K8SAEpigQ6UcHqTvU=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1190</Words>
  <Characters>6784</Characters>
  <Application>Microsoft Office Word</Application>
  <DocSecurity>0</DocSecurity>
  <Lines>56</Lines>
  <Paragraphs>15</Paragraphs>
  <ScaleCrop>false</ScaleCrop>
  <Company/>
  <LinksUpToDate>false</LinksUpToDate>
  <CharactersWithSpaces>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dc:creator>
  <cp:lastModifiedBy>Luca</cp:lastModifiedBy>
  <cp:revision>8</cp:revision>
  <dcterms:created xsi:type="dcterms:W3CDTF">2020-07-22T09:49:00Z</dcterms:created>
  <dcterms:modified xsi:type="dcterms:W3CDTF">2020-11-19T08:24:00Z</dcterms:modified>
</cp:coreProperties>
</file>