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F5C5C" w14:textId="77777777" w:rsidR="00ED2A4E" w:rsidRPr="008A0C6C" w:rsidRDefault="00320289" w:rsidP="00916D10">
      <w:pPr>
        <w:spacing w:before="240" w:after="240"/>
        <w:rPr>
          <w:rFonts w:ascii="Palatino Linotype" w:eastAsia="Palatino Linotype" w:hAnsi="Palatino Linotype" w:cs="Palatino Linotype"/>
          <w:b/>
          <w:sz w:val="20"/>
          <w:szCs w:val="20"/>
          <w:lang w:val="en-US"/>
        </w:rPr>
      </w:pPr>
      <w:bookmarkStart w:id="0" w:name="_GoBack"/>
      <w:bookmarkEnd w:id="0"/>
      <w:r w:rsidRPr="008A0C6C">
        <w:rPr>
          <w:rFonts w:ascii="Palatino Linotype" w:eastAsia="Palatino Linotype" w:hAnsi="Palatino Linotype" w:cs="Palatino Linotype"/>
          <w:b/>
          <w:sz w:val="20"/>
          <w:szCs w:val="20"/>
          <w:lang w:val="en-US"/>
        </w:rPr>
        <w:t xml:space="preserve">Supplementary Material </w:t>
      </w:r>
    </w:p>
    <w:p w14:paraId="18B6F377" w14:textId="77777777" w:rsidR="00ED2A4E" w:rsidRPr="008A0C6C" w:rsidRDefault="00320289" w:rsidP="00916D10">
      <w:pPr>
        <w:spacing w:before="240" w:after="240"/>
        <w:rPr>
          <w:rFonts w:ascii="Palatino Linotype" w:eastAsia="Palatino Linotype" w:hAnsi="Palatino Linotype" w:cs="Palatino Linotype"/>
          <w:b/>
          <w:sz w:val="20"/>
          <w:szCs w:val="20"/>
          <w:lang w:val="en-US"/>
        </w:rPr>
      </w:pPr>
      <w:r w:rsidRPr="008A0C6C">
        <w:rPr>
          <w:rFonts w:ascii="Palatino Linotype" w:eastAsia="Palatino Linotype" w:hAnsi="Palatino Linotype" w:cs="Palatino Linotype"/>
          <w:b/>
          <w:sz w:val="20"/>
          <w:szCs w:val="20"/>
          <w:lang w:val="en-US"/>
        </w:rPr>
        <w:t>Methods</w:t>
      </w:r>
    </w:p>
    <w:p w14:paraId="3DA6DEFE" w14:textId="77777777" w:rsidR="00ED2A4E" w:rsidRPr="008A0C6C" w:rsidRDefault="00320289" w:rsidP="00916D10">
      <w:pPr>
        <w:spacing w:before="240" w:after="240"/>
        <w:jc w:val="both"/>
        <w:rPr>
          <w:rFonts w:ascii="Palatino Linotype" w:eastAsia="Palatino Linotype" w:hAnsi="Palatino Linotype" w:cs="Palatino Linotype"/>
          <w:i/>
          <w:sz w:val="20"/>
          <w:szCs w:val="20"/>
          <w:lang w:val="en-US"/>
        </w:rPr>
      </w:pPr>
      <w:r w:rsidRPr="008A0C6C">
        <w:rPr>
          <w:rFonts w:ascii="Palatino Linotype" w:eastAsia="Palatino Linotype" w:hAnsi="Palatino Linotype" w:cs="Palatino Linotype"/>
          <w:i/>
          <w:sz w:val="20"/>
          <w:szCs w:val="20"/>
          <w:lang w:val="en-US"/>
        </w:rPr>
        <w:t>Muscle dissection for in vivo and ex vivo assays</w:t>
      </w:r>
    </w:p>
    <w:p w14:paraId="45C58A0B" w14:textId="32676177" w:rsidR="00ED2A4E" w:rsidRPr="00F4777F" w:rsidRDefault="00320289" w:rsidP="00916D10">
      <w:pPr>
        <w:spacing w:before="240" w:after="240"/>
        <w:jc w:val="both"/>
        <w:rPr>
          <w:rFonts w:ascii="Palatino Linotype" w:eastAsia="Palatino Linotype" w:hAnsi="Palatino Linotype" w:cs="Palatino Linotype"/>
          <w:sz w:val="20"/>
          <w:szCs w:val="20"/>
          <w:lang w:val="en-US"/>
        </w:rPr>
      </w:pPr>
      <w:r w:rsidRPr="008A0C6C">
        <w:rPr>
          <w:rFonts w:ascii="Palatino Linotype" w:eastAsia="Palatino Linotype" w:hAnsi="Palatino Linotype" w:cs="Palatino Linotype"/>
          <w:sz w:val="20"/>
          <w:szCs w:val="20"/>
          <w:lang w:val="en-US"/>
        </w:rPr>
        <w:t xml:space="preserve">Muscle tissues were obtained following the dissection protocol described </w:t>
      </w:r>
      <w:r w:rsidRPr="007E574A">
        <w:rPr>
          <w:rFonts w:ascii="Palatino Linotype" w:eastAsia="Palatino Linotype" w:hAnsi="Palatino Linotype" w:cs="Palatino Linotype"/>
          <w:sz w:val="20"/>
          <w:szCs w:val="20"/>
          <w:lang w:val="en-US"/>
        </w:rPr>
        <w:t xml:space="preserve">by Bello, SA, et al., 2015 </w:t>
      </w:r>
      <w:r w:rsidRPr="00F4777F">
        <w:rPr>
          <w:rFonts w:ascii="Palatino Linotype" w:eastAsia="Palatino Linotype" w:hAnsi="Palatino Linotype" w:cs="Palatino Linotype"/>
          <w:sz w:val="20"/>
          <w:szCs w:val="20"/>
          <w:lang w:val="en-US"/>
        </w:rPr>
        <w:t>[</w:t>
      </w:r>
      <w:r w:rsidR="002F4F0E" w:rsidRPr="00F4777F">
        <w:rPr>
          <w:rFonts w:ascii="Palatino Linotype" w:eastAsia="Palatino Linotype" w:hAnsi="Palatino Linotype" w:cs="Palatino Linotype"/>
          <w:sz w:val="20"/>
          <w:szCs w:val="20"/>
          <w:lang w:val="en-US"/>
        </w:rPr>
        <w:t>7</w:t>
      </w:r>
      <w:r w:rsidR="00CC6A6E">
        <w:rPr>
          <w:rFonts w:ascii="Palatino Linotype" w:eastAsia="Palatino Linotype" w:hAnsi="Palatino Linotype" w:cs="Palatino Linotype"/>
          <w:sz w:val="20"/>
          <w:szCs w:val="20"/>
          <w:lang w:val="en-US"/>
        </w:rPr>
        <w:t>6</w:t>
      </w:r>
      <w:r w:rsidRPr="00F4777F">
        <w:rPr>
          <w:rFonts w:ascii="Palatino Linotype" w:eastAsia="Palatino Linotype" w:hAnsi="Palatino Linotype" w:cs="Palatino Linotype"/>
          <w:sz w:val="20"/>
          <w:szCs w:val="20"/>
          <w:lang w:val="en-US"/>
        </w:rPr>
        <w:t xml:space="preserve">], with some modifications. Briefly, animals were anesthetized by placing them on ice for 1hr, then washed with 10% sodium hypochlorite, ethanol 70% respectively for one minute, and left in purified/autoclaved sea water. Animals were dissected, and longitudinal muscles were carefully removed. Collected tissues were transferred to a PS, neomycin, and amphotericin B antibiotic (3X </w:t>
      </w:r>
      <w:proofErr w:type="spellStart"/>
      <w:r w:rsidRPr="00F4777F">
        <w:rPr>
          <w:rFonts w:ascii="Palatino Linotype" w:eastAsia="Palatino Linotype" w:hAnsi="Palatino Linotype" w:cs="Palatino Linotype"/>
          <w:sz w:val="20"/>
          <w:szCs w:val="20"/>
          <w:lang w:val="en-US"/>
        </w:rPr>
        <w:t>abx</w:t>
      </w:r>
      <w:proofErr w:type="spellEnd"/>
      <w:r w:rsidRPr="00F4777F">
        <w:rPr>
          <w:rFonts w:ascii="Palatino Linotype" w:eastAsia="Palatino Linotype" w:hAnsi="Palatino Linotype" w:cs="Palatino Linotype"/>
          <w:sz w:val="20"/>
          <w:szCs w:val="20"/>
          <w:lang w:val="en-US"/>
        </w:rPr>
        <w:t xml:space="preserve">) cold media. Upon removal, longitudinal muscles were transferred to 3X </w:t>
      </w:r>
      <w:proofErr w:type="spellStart"/>
      <w:r w:rsidRPr="00F4777F">
        <w:rPr>
          <w:rFonts w:ascii="Palatino Linotype" w:eastAsia="Palatino Linotype" w:hAnsi="Palatino Linotype" w:cs="Palatino Linotype"/>
          <w:sz w:val="20"/>
          <w:szCs w:val="20"/>
          <w:lang w:val="en-US"/>
        </w:rPr>
        <w:t>abx</w:t>
      </w:r>
      <w:proofErr w:type="spellEnd"/>
      <w:r w:rsidRPr="00F4777F">
        <w:rPr>
          <w:rFonts w:ascii="Palatino Linotype" w:eastAsia="Palatino Linotype" w:hAnsi="Palatino Linotype" w:cs="Palatino Linotype"/>
          <w:sz w:val="20"/>
          <w:szCs w:val="20"/>
          <w:lang w:val="en-US"/>
        </w:rPr>
        <w:t xml:space="preserve"> and left in a shaker for an hour at room temperature. </w:t>
      </w:r>
    </w:p>
    <w:p w14:paraId="464DA4AF" w14:textId="77777777" w:rsidR="00ED2A4E" w:rsidRPr="00F4777F" w:rsidRDefault="00320289" w:rsidP="00916D10">
      <w:pPr>
        <w:spacing w:before="240" w:after="240"/>
        <w:jc w:val="both"/>
        <w:rPr>
          <w:rFonts w:ascii="Palatino Linotype" w:eastAsia="Palatino Linotype" w:hAnsi="Palatino Linotype" w:cs="Palatino Linotype"/>
          <w:sz w:val="20"/>
          <w:szCs w:val="20"/>
          <w:lang w:val="en-US"/>
        </w:rPr>
      </w:pPr>
      <w:r w:rsidRPr="00F4777F">
        <w:rPr>
          <w:rFonts w:ascii="Palatino Linotype" w:eastAsia="Palatino Linotype" w:hAnsi="Palatino Linotype" w:cs="Palatino Linotype"/>
          <w:i/>
          <w:sz w:val="20"/>
          <w:szCs w:val="20"/>
          <w:lang w:val="en-US"/>
        </w:rPr>
        <w:t>Cell cultures</w:t>
      </w:r>
      <w:r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i/>
          <w:sz w:val="20"/>
          <w:szCs w:val="20"/>
          <w:lang w:val="en-US"/>
        </w:rPr>
        <w:t>and toxicity assays</w:t>
      </w:r>
      <w:r w:rsidRPr="00F4777F">
        <w:rPr>
          <w:rFonts w:ascii="Palatino Linotype" w:eastAsia="Palatino Linotype" w:hAnsi="Palatino Linotype" w:cs="Palatino Linotype"/>
          <w:sz w:val="20"/>
          <w:szCs w:val="20"/>
          <w:lang w:val="en-US"/>
        </w:rPr>
        <w:t xml:space="preserve"> </w:t>
      </w:r>
    </w:p>
    <w:p w14:paraId="2BB39B80" w14:textId="30823EFF" w:rsidR="00ED2A4E" w:rsidRPr="00F4777F" w:rsidRDefault="00320289" w:rsidP="00916D10">
      <w:pPr>
        <w:spacing w:before="240" w:after="240"/>
        <w:jc w:val="both"/>
        <w:rPr>
          <w:rFonts w:ascii="Palatino Linotype" w:eastAsia="Palatino Linotype" w:hAnsi="Palatino Linotype" w:cs="Palatino Linotype"/>
          <w:sz w:val="20"/>
          <w:szCs w:val="20"/>
          <w:lang w:val="en-US"/>
        </w:rPr>
      </w:pPr>
      <w:r w:rsidRPr="00F4777F">
        <w:rPr>
          <w:rFonts w:ascii="Palatino Linotype" w:eastAsia="Palatino Linotype" w:hAnsi="Palatino Linotype" w:cs="Palatino Linotype"/>
          <w:sz w:val="20"/>
          <w:szCs w:val="20"/>
          <w:lang w:val="en-US"/>
        </w:rPr>
        <w:t>To obtain isolated cells, muscles were further cut into approximately 1mm</w:t>
      </w:r>
      <w:r w:rsidRPr="00F4777F">
        <w:rPr>
          <w:rFonts w:ascii="Palatino Linotype" w:eastAsia="Palatino Linotype" w:hAnsi="Palatino Linotype" w:cs="Palatino Linotype"/>
          <w:sz w:val="20"/>
          <w:szCs w:val="20"/>
          <w:vertAlign w:val="superscript"/>
          <w:lang w:val="en-US"/>
        </w:rPr>
        <w:t>2</w:t>
      </w:r>
      <w:r w:rsidRPr="00F4777F">
        <w:rPr>
          <w:rFonts w:ascii="Palatino Linotype" w:eastAsia="Palatino Linotype" w:hAnsi="Palatino Linotype" w:cs="Palatino Linotype"/>
          <w:sz w:val="20"/>
          <w:szCs w:val="20"/>
          <w:lang w:val="en-US"/>
        </w:rPr>
        <w:t xml:space="preserve"> pieces using scissors and washed again for 1hr in 3X </w:t>
      </w:r>
      <w:proofErr w:type="spellStart"/>
      <w:r w:rsidRPr="00F4777F">
        <w:rPr>
          <w:rFonts w:ascii="Palatino Linotype" w:eastAsia="Palatino Linotype" w:hAnsi="Palatino Linotype" w:cs="Palatino Linotype"/>
          <w:sz w:val="20"/>
          <w:szCs w:val="20"/>
          <w:lang w:val="en-US"/>
        </w:rPr>
        <w:t>abx</w:t>
      </w:r>
      <w:proofErr w:type="spellEnd"/>
      <w:r w:rsidRPr="00F4777F">
        <w:rPr>
          <w:rFonts w:ascii="Palatino Linotype" w:eastAsia="Palatino Linotype" w:hAnsi="Palatino Linotype" w:cs="Palatino Linotype"/>
          <w:sz w:val="20"/>
          <w:szCs w:val="20"/>
          <w:lang w:val="en-US"/>
        </w:rPr>
        <w:t>. After centrifugation, the antibiotic solution was removed and tissues were resuspended in 5-10 ml of 0.15% collagenase (Sigma-</w:t>
      </w:r>
      <w:proofErr w:type="spellStart"/>
      <w:r w:rsidRPr="00F4777F">
        <w:rPr>
          <w:rFonts w:ascii="Palatino Linotype" w:eastAsia="Palatino Linotype" w:hAnsi="Palatino Linotype" w:cs="Palatino Linotype"/>
          <w:sz w:val="20"/>
          <w:szCs w:val="20"/>
          <w:lang w:val="en-US"/>
        </w:rPr>
        <w:t>Aldrich</w:t>
      </w:r>
      <w:r w:rsidRPr="00F4777F">
        <w:rPr>
          <w:rFonts w:ascii="Palatino Linotype" w:eastAsia="Palatino Linotype" w:hAnsi="Palatino Linotype" w:cs="Palatino Linotype"/>
          <w:sz w:val="20"/>
          <w:szCs w:val="20"/>
          <w:vertAlign w:val="superscript"/>
          <w:lang w:val="en-US"/>
        </w:rPr>
        <w:t>R</w:t>
      </w:r>
      <w:proofErr w:type="spellEnd"/>
      <w:r w:rsidRPr="00F4777F">
        <w:rPr>
          <w:rFonts w:ascii="Palatino Linotype" w:eastAsia="Palatino Linotype" w:hAnsi="Palatino Linotype" w:cs="Palatino Linotype"/>
          <w:sz w:val="20"/>
          <w:szCs w:val="20"/>
          <w:lang w:val="en-US"/>
        </w:rPr>
        <w:t>), left shaking overnight at room temperature. Collagenase was removed by centrifugation at 25</w:t>
      </w:r>
      <w:r w:rsidR="007E574A" w:rsidRPr="00F4777F">
        <w:rPr>
          <w:rFonts w:ascii="Palatino Linotype" w:eastAsia="Palatino Linotype" w:hAnsi="Palatino Linotype" w:cs="Palatino Linotype"/>
          <w:sz w:val="20"/>
          <w:szCs w:val="20"/>
          <w:lang w:val="en-US"/>
        </w:rPr>
        <w:t xml:space="preserve"> </w:t>
      </w:r>
      <w:r w:rsidR="007E574A" w:rsidRPr="00F4777F">
        <w:rPr>
          <w:rFonts w:ascii="Calibri" w:eastAsia="Palatino Linotype" w:hAnsi="Calibri" w:cs="Calibri"/>
          <w:sz w:val="20"/>
          <w:szCs w:val="20"/>
          <w:lang w:val="en-US"/>
        </w:rPr>
        <w:t>°</w:t>
      </w:r>
      <w:r w:rsidRPr="00F4777F">
        <w:rPr>
          <w:rFonts w:ascii="Palatino Linotype" w:eastAsia="Palatino Linotype" w:hAnsi="Palatino Linotype" w:cs="Palatino Linotype"/>
          <w:sz w:val="20"/>
          <w:szCs w:val="20"/>
          <w:lang w:val="en-US"/>
        </w:rPr>
        <w:t>C for 10 min at 1600 rpm. The cells were resuspended in fresh supplemented media and washed twice to remove all traces of collagenase. A last centrifugation at 400 rpm for 10 mins was done, and the low-density phase supernatants (containing the smaller cells) were counted and plated at around 10</w:t>
      </w:r>
      <w:r w:rsidRPr="00F4777F">
        <w:rPr>
          <w:rFonts w:ascii="Palatino Linotype" w:eastAsia="Palatino Linotype" w:hAnsi="Palatino Linotype" w:cs="Palatino Linotype"/>
          <w:sz w:val="20"/>
          <w:szCs w:val="20"/>
          <w:vertAlign w:val="superscript"/>
          <w:lang w:val="en-US"/>
        </w:rPr>
        <w:t xml:space="preserve">5 </w:t>
      </w:r>
      <w:r w:rsidRPr="00F4777F">
        <w:rPr>
          <w:rFonts w:ascii="Palatino Linotype" w:eastAsia="Palatino Linotype" w:hAnsi="Palatino Linotype" w:cs="Palatino Linotype"/>
          <w:sz w:val="20"/>
          <w:szCs w:val="20"/>
          <w:lang w:val="en-US"/>
        </w:rPr>
        <w:t xml:space="preserve">cells per well in 100 µl of media, 10 µl of antibiotics dilutions were added. </w:t>
      </w:r>
    </w:p>
    <w:p w14:paraId="46751D05" w14:textId="3673618B" w:rsidR="00FD16E0" w:rsidRPr="00F4777F" w:rsidRDefault="00320289" w:rsidP="00916D10">
      <w:pPr>
        <w:spacing w:before="240" w:after="240"/>
        <w:jc w:val="both"/>
        <w:rPr>
          <w:rFonts w:ascii="Palatino Linotype" w:eastAsia="Palatino Linotype" w:hAnsi="Palatino Linotype" w:cs="Palatino Linotype"/>
          <w:sz w:val="20"/>
          <w:szCs w:val="20"/>
          <w:lang w:val="en-US"/>
        </w:rPr>
      </w:pPr>
      <w:r w:rsidRPr="00F4777F">
        <w:rPr>
          <w:rFonts w:ascii="Palatino Linotype" w:eastAsia="Palatino Linotype" w:hAnsi="Palatino Linotype" w:cs="Palatino Linotype"/>
          <w:sz w:val="20"/>
          <w:szCs w:val="20"/>
          <w:lang w:val="en-US"/>
        </w:rPr>
        <w:t>Culture media consisted of supplemented L-15 media (13.8</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lang w:val="en-US"/>
        </w:rPr>
        <w:t>g/L L-15, 12.5</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lang w:val="en-US"/>
        </w:rPr>
        <w:t>g/L NaCl, 6.24 g/L glucose, 3.16 g/L MgCl</w:t>
      </w:r>
      <w:r w:rsidRPr="00F4777F">
        <w:rPr>
          <w:rFonts w:ascii="Palatino Linotype" w:eastAsia="Palatino Linotype" w:hAnsi="Palatino Linotype" w:cs="Palatino Linotype"/>
          <w:sz w:val="20"/>
          <w:szCs w:val="20"/>
          <w:vertAlign w:val="subscript"/>
          <w:lang w:val="en-US"/>
        </w:rPr>
        <w:t>2</w:t>
      </w:r>
      <w:r w:rsidRPr="00F4777F">
        <w:rPr>
          <w:rFonts w:ascii="Palatino Linotype" w:eastAsia="Palatino Linotype" w:hAnsi="Palatino Linotype" w:cs="Palatino Linotype"/>
          <w:sz w:val="20"/>
          <w:szCs w:val="20"/>
          <w:lang w:val="en-US"/>
        </w:rPr>
        <w:t>, 1.49g/L CaCl</w:t>
      </w:r>
      <w:r w:rsidRPr="00F4777F">
        <w:rPr>
          <w:rFonts w:ascii="Palatino Linotype" w:eastAsia="Palatino Linotype" w:hAnsi="Palatino Linotype" w:cs="Palatino Linotype"/>
          <w:sz w:val="20"/>
          <w:szCs w:val="20"/>
          <w:vertAlign w:val="subscript"/>
          <w:lang w:val="en-US"/>
        </w:rPr>
        <w:t>2</w:t>
      </w:r>
      <w:r w:rsidRPr="00F4777F">
        <w:rPr>
          <w:rFonts w:ascii="Palatino Linotype" w:eastAsia="Palatino Linotype" w:hAnsi="Palatino Linotype" w:cs="Palatino Linotype"/>
          <w:sz w:val="20"/>
          <w:szCs w:val="20"/>
          <w:lang w:val="en-US"/>
        </w:rPr>
        <w:t>, 300 mg/L L-glutamine, and 192 mg/L NaHCO3, 1X penicillin/streptomycin, 50</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rPr>
        <w:t>μ</w:t>
      </w:r>
      <w:r w:rsidRPr="00F4777F">
        <w:rPr>
          <w:rFonts w:ascii="Palatino Linotype" w:eastAsia="Palatino Linotype" w:hAnsi="Palatino Linotype" w:cs="Palatino Linotype"/>
          <w:sz w:val="20"/>
          <w:szCs w:val="20"/>
          <w:lang w:val="en-US"/>
        </w:rPr>
        <w:t>g/ml gentamicin, 1</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lang w:val="en-US"/>
        </w:rPr>
        <w:t>mM sodium pyruvate, 1% MEM non-essential amino acids, 1.75</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lang w:val="en-US"/>
        </w:rPr>
        <w:t>ug/ml tocopherol, 2.5</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lang w:val="en-US"/>
        </w:rPr>
        <w:t xml:space="preserve">ug/ml amphotericin B). Ten </w:t>
      </w:r>
      <w:r w:rsidRPr="00F4777F">
        <w:rPr>
          <w:rFonts w:ascii="Palatino Linotype" w:eastAsia="Palatino Linotype" w:hAnsi="Palatino Linotype" w:cs="Palatino Linotype"/>
          <w:sz w:val="20"/>
          <w:szCs w:val="20"/>
        </w:rPr>
        <w:t>μ</w:t>
      </w:r>
      <w:r w:rsidRPr="00F4777F">
        <w:rPr>
          <w:rFonts w:ascii="Palatino Linotype" w:eastAsia="Palatino Linotype" w:hAnsi="Palatino Linotype" w:cs="Palatino Linotype"/>
          <w:sz w:val="20"/>
          <w:szCs w:val="20"/>
          <w:lang w:val="en-US"/>
        </w:rPr>
        <w:t xml:space="preserve">l drug stocks with adjusted pH 7.5 were added to each well up to the final concentration, and ten </w:t>
      </w:r>
      <w:r w:rsidRPr="00F4777F">
        <w:rPr>
          <w:rFonts w:ascii="Palatino Linotype" w:eastAsia="Palatino Linotype" w:hAnsi="Palatino Linotype" w:cs="Palatino Linotype"/>
          <w:sz w:val="20"/>
          <w:szCs w:val="20"/>
        </w:rPr>
        <w:t>μ</w:t>
      </w:r>
      <w:r w:rsidRPr="00F4777F">
        <w:rPr>
          <w:rFonts w:ascii="Palatino Linotype" w:eastAsia="Palatino Linotype" w:hAnsi="Palatino Linotype" w:cs="Palatino Linotype"/>
          <w:sz w:val="20"/>
          <w:szCs w:val="20"/>
          <w:lang w:val="en-US"/>
        </w:rPr>
        <w:t>l of distilled water were added to non-treated controls, while three wells per plate were filled with media alone (blanks). The concentrations tested for PS and K included: 10, 20, 30, 40, 50, 60, 100, 125, 250, and 500</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rPr>
        <w:t>μ</w:t>
      </w:r>
      <w:r w:rsidRPr="00F4777F">
        <w:rPr>
          <w:rFonts w:ascii="Palatino Linotype" w:eastAsia="Palatino Linotype" w:hAnsi="Palatino Linotype" w:cs="Palatino Linotype"/>
          <w:sz w:val="20"/>
          <w:szCs w:val="20"/>
          <w:lang w:val="en-US"/>
        </w:rPr>
        <w:t>g/</w:t>
      </w:r>
      <w:proofErr w:type="spellStart"/>
      <w:r w:rsidRPr="00F4777F">
        <w:rPr>
          <w:rFonts w:ascii="Palatino Linotype" w:eastAsia="Palatino Linotype" w:hAnsi="Palatino Linotype" w:cs="Palatino Linotype"/>
          <w:sz w:val="20"/>
          <w:szCs w:val="20"/>
          <w:lang w:val="en-US"/>
        </w:rPr>
        <w:t>mL.</w:t>
      </w:r>
      <w:proofErr w:type="spellEnd"/>
      <w:r w:rsidRPr="00F4777F">
        <w:rPr>
          <w:rFonts w:ascii="Palatino Linotype" w:eastAsia="Palatino Linotype" w:hAnsi="Palatino Linotype" w:cs="Palatino Linotype"/>
          <w:sz w:val="20"/>
          <w:szCs w:val="20"/>
          <w:lang w:val="en-US"/>
        </w:rPr>
        <w:t xml:space="preserve"> Because Erythromycin has been shown to work at lower concentrations, cells were treated with final concentrations of 2, 4, 6, 10, 25, 50, and 100</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rPr>
        <w:t>μ</w:t>
      </w:r>
      <w:r w:rsidRPr="00F4777F">
        <w:rPr>
          <w:rFonts w:ascii="Palatino Linotype" w:eastAsia="Palatino Linotype" w:hAnsi="Palatino Linotype" w:cs="Palatino Linotype"/>
          <w:sz w:val="20"/>
          <w:szCs w:val="20"/>
          <w:lang w:val="en-US"/>
        </w:rPr>
        <w:t>g/</w:t>
      </w:r>
      <w:proofErr w:type="spellStart"/>
      <w:r w:rsidRPr="00F4777F">
        <w:rPr>
          <w:rFonts w:ascii="Palatino Linotype" w:eastAsia="Palatino Linotype" w:hAnsi="Palatino Linotype" w:cs="Palatino Linotype"/>
          <w:sz w:val="20"/>
          <w:szCs w:val="20"/>
          <w:lang w:val="en-US"/>
        </w:rPr>
        <w:t>mL.</w:t>
      </w:r>
      <w:proofErr w:type="spellEnd"/>
      <w:r w:rsidRPr="00F4777F">
        <w:rPr>
          <w:rFonts w:ascii="Palatino Linotype" w:eastAsia="Palatino Linotype" w:hAnsi="Palatino Linotype" w:cs="Palatino Linotype"/>
          <w:sz w:val="20"/>
          <w:szCs w:val="20"/>
          <w:lang w:val="en-US"/>
        </w:rPr>
        <w:t xml:space="preserve"> Triplicates were prepared for each dilution.  Cells were incubated with the antibiotic dilutions for either 48 or 72 h at 25</w:t>
      </w:r>
      <w:r w:rsidRPr="00F4777F">
        <w:rPr>
          <w:rFonts w:ascii="Palatino Linotype" w:eastAsia="Palatino Linotype" w:hAnsi="Palatino Linotype" w:cs="Palatino Linotype"/>
          <w:sz w:val="20"/>
          <w:szCs w:val="20"/>
          <w:vertAlign w:val="superscript"/>
          <w:lang w:val="en-US"/>
        </w:rPr>
        <w:t>o</w:t>
      </w:r>
      <w:r w:rsidRPr="00F4777F">
        <w:rPr>
          <w:rFonts w:ascii="Palatino Linotype" w:eastAsia="Palatino Linotype" w:hAnsi="Palatino Linotype" w:cs="Palatino Linotype"/>
          <w:sz w:val="20"/>
          <w:szCs w:val="20"/>
          <w:lang w:val="en-US"/>
        </w:rPr>
        <w:t xml:space="preserve">C. The TOX1 Sigma </w:t>
      </w:r>
      <w:r w:rsidRPr="00F4777F">
        <w:rPr>
          <w:rFonts w:ascii="Palatino Linotype" w:eastAsia="Palatino Linotype" w:hAnsi="Palatino Linotype" w:cs="Palatino Linotype"/>
          <w:i/>
          <w:sz w:val="20"/>
          <w:szCs w:val="20"/>
          <w:lang w:val="en-US"/>
        </w:rPr>
        <w:t>In Vitro</w:t>
      </w:r>
      <w:r w:rsidRPr="00F4777F">
        <w:rPr>
          <w:rFonts w:ascii="Palatino Linotype" w:eastAsia="Palatino Linotype" w:hAnsi="Palatino Linotype" w:cs="Palatino Linotype"/>
          <w:sz w:val="20"/>
          <w:szCs w:val="20"/>
          <w:lang w:val="en-US"/>
        </w:rPr>
        <w:t xml:space="preserve"> Toxicology Assay Kit (MTT based-Sigma) [7</w:t>
      </w:r>
      <w:r w:rsidR="00CC6A6E">
        <w:rPr>
          <w:rFonts w:ascii="Palatino Linotype" w:eastAsia="Palatino Linotype" w:hAnsi="Palatino Linotype" w:cs="Palatino Linotype"/>
          <w:sz w:val="20"/>
          <w:szCs w:val="20"/>
          <w:lang w:val="en-US"/>
        </w:rPr>
        <w:t>8</w:t>
      </w:r>
      <w:r w:rsidRPr="00F4777F">
        <w:rPr>
          <w:rFonts w:ascii="Palatino Linotype" w:eastAsia="Palatino Linotype" w:hAnsi="Palatino Linotype" w:cs="Palatino Linotype"/>
          <w:sz w:val="20"/>
          <w:szCs w:val="20"/>
          <w:lang w:val="en-US"/>
        </w:rPr>
        <w:t>] was added to determine the metabolic activity of sea cucumber cells exposed to antibiotics. 100 µl of MTT solution (MTT reagent/ culture media) were added to each well and incubated for 3 h.</w:t>
      </w:r>
      <w:r w:rsidRPr="00F4777F">
        <w:rPr>
          <w:rFonts w:ascii="Palatino Linotype" w:eastAsia="Palatino Linotype" w:hAnsi="Palatino Linotype" w:cs="Palatino Linotype"/>
          <w:b/>
          <w:sz w:val="20"/>
          <w:szCs w:val="20"/>
          <w:lang w:val="en-US"/>
        </w:rPr>
        <w:t xml:space="preserve"> </w:t>
      </w:r>
      <w:r w:rsidRPr="00F4777F">
        <w:rPr>
          <w:rFonts w:ascii="Palatino Linotype" w:eastAsia="Palatino Linotype" w:hAnsi="Palatino Linotype" w:cs="Palatino Linotype"/>
          <w:sz w:val="20"/>
          <w:szCs w:val="20"/>
          <w:lang w:val="en-US"/>
        </w:rPr>
        <w:t>As the result of metabolic activity, formazan is formed by the</w:t>
      </w:r>
      <w:r w:rsidRPr="00F4777F">
        <w:rPr>
          <w:rFonts w:ascii="Palatino Linotype" w:eastAsia="Palatino Linotype" w:hAnsi="Palatino Linotype" w:cs="Palatino Linotype"/>
          <w:b/>
          <w:sz w:val="20"/>
          <w:szCs w:val="20"/>
          <w:lang w:val="en-US"/>
        </w:rPr>
        <w:t xml:space="preserve"> </w:t>
      </w:r>
      <w:r w:rsidRPr="00F4777F">
        <w:rPr>
          <w:rFonts w:ascii="Palatino Linotype" w:eastAsia="Palatino Linotype" w:hAnsi="Palatino Linotype" w:cs="Palatino Linotype"/>
          <w:sz w:val="20"/>
          <w:szCs w:val="20"/>
          <w:lang w:val="en-US"/>
        </w:rPr>
        <w:t xml:space="preserve">cleavage of the MTT tetrazolium ring after metabolic redox reactions within the cultures. Formazan production was recorded at 570 nm, (blanks’ lectures were used to eliminate media fluorescence). Additionally, readings at 690 nm were subtracted to eliminate plate background from each well. Absorbance measurements at 597 nm were obtained using the plate reader </w:t>
      </w:r>
      <w:proofErr w:type="spellStart"/>
      <w:r w:rsidRPr="00F4777F">
        <w:rPr>
          <w:rFonts w:ascii="Palatino Linotype" w:eastAsia="Palatino Linotype" w:hAnsi="Palatino Linotype" w:cs="Palatino Linotype"/>
          <w:sz w:val="20"/>
          <w:szCs w:val="20"/>
          <w:lang w:val="en-US"/>
        </w:rPr>
        <w:t>SpectraMax</w:t>
      </w:r>
      <w:proofErr w:type="spellEnd"/>
      <w:r w:rsidRPr="00F4777F">
        <w:rPr>
          <w:rFonts w:ascii="Palatino Linotype" w:eastAsia="Palatino Linotype" w:hAnsi="Palatino Linotype" w:cs="Palatino Linotype"/>
          <w:sz w:val="20"/>
          <w:szCs w:val="20"/>
          <w:lang w:val="en-US"/>
        </w:rPr>
        <w:t xml:space="preserve"> 360, and SoftMax Software. Results are represented as </w:t>
      </w:r>
      <w:r w:rsidR="00FD16E0" w:rsidRPr="00F4777F">
        <w:rPr>
          <w:rFonts w:ascii="Palatino Linotype" w:eastAsia="Palatino Linotype" w:hAnsi="Palatino Linotype" w:cs="Palatino Linotype"/>
          <w:sz w:val="20"/>
          <w:szCs w:val="20"/>
          <w:lang w:val="en-US"/>
        </w:rPr>
        <w:t xml:space="preserve">the </w:t>
      </w:r>
      <w:r w:rsidRPr="00F4777F">
        <w:rPr>
          <w:rFonts w:ascii="Palatino Linotype" w:eastAsia="Palatino Linotype" w:hAnsi="Palatino Linotype" w:cs="Palatino Linotype"/>
          <w:sz w:val="20"/>
          <w:szCs w:val="20"/>
          <w:lang w:val="en-US"/>
        </w:rPr>
        <w:t xml:space="preserve">metabolic activity </w:t>
      </w:r>
      <w:r w:rsidR="00FD16E0" w:rsidRPr="00F4777F">
        <w:rPr>
          <w:rFonts w:ascii="Palatino Linotype" w:eastAsia="Palatino Linotype" w:hAnsi="Palatino Linotype" w:cs="Palatino Linotype"/>
          <w:sz w:val="20"/>
          <w:szCs w:val="20"/>
          <w:lang w:val="en-US"/>
        </w:rPr>
        <w:t>rate</w:t>
      </w:r>
      <w:r w:rsidR="00C505B5" w:rsidRPr="00F4777F">
        <w:rPr>
          <w:rFonts w:ascii="Palatino Linotype" w:eastAsia="Palatino Linotype" w:hAnsi="Palatino Linotype" w:cs="Palatino Linotype"/>
          <w:sz w:val="20"/>
          <w:szCs w:val="20"/>
          <w:lang w:val="en-US"/>
        </w:rPr>
        <w:t>:</w:t>
      </w:r>
      <w:bookmarkStart w:id="1" w:name="_Hlk64290389"/>
      <w:bookmarkStart w:id="2" w:name="_Hlk64289632"/>
    </w:p>
    <w:tbl>
      <w:tblPr>
        <w:tblW w:w="7859" w:type="dxa"/>
        <w:tblCellMar>
          <w:left w:w="0" w:type="dxa"/>
          <w:right w:w="0" w:type="dxa"/>
        </w:tblCellMar>
        <w:tblLook w:val="04A0" w:firstRow="1" w:lastRow="0" w:firstColumn="1" w:lastColumn="0" w:noHBand="0" w:noVBand="1"/>
      </w:tblPr>
      <w:tblGrid>
        <w:gridCol w:w="7428"/>
        <w:gridCol w:w="431"/>
      </w:tblGrid>
      <w:tr w:rsidR="00916D10" w:rsidRPr="00F4777F" w14:paraId="27DA54D3" w14:textId="77777777" w:rsidTr="00C74A52">
        <w:tc>
          <w:tcPr>
            <w:tcW w:w="7428" w:type="dxa"/>
            <w:hideMark/>
          </w:tcPr>
          <w:p w14:paraId="2AD2968D" w14:textId="77777777" w:rsidR="00916D10" w:rsidRPr="00F4777F" w:rsidRDefault="00A22C84" w:rsidP="00916D10">
            <w:pPr>
              <w:spacing w:before="240" w:after="240"/>
              <w:jc w:val="center"/>
              <w:rPr>
                <w:rFonts w:ascii="Palatino Linotype" w:eastAsia="Palatino Linotype" w:hAnsi="Palatino Linotype" w:cs="Palatino Linotype"/>
                <w:sz w:val="18"/>
                <w:szCs w:val="18"/>
                <w:lang w:val="en-US"/>
              </w:rPr>
            </w:pPr>
            <m:oMath>
              <m:f>
                <m:fPr>
                  <m:ctrlPr>
                    <w:rPr>
                      <w:rFonts w:ascii="Cambria Math" w:eastAsia="Palatino Linotype" w:hAnsi="Cambria Math" w:cs="Palatino Linotype"/>
                      <w:sz w:val="18"/>
                      <w:szCs w:val="18"/>
                      <w:lang w:val="en-US"/>
                    </w:rPr>
                  </m:ctrlPr>
                </m:fPr>
                <m:num>
                  <m:r>
                    <w:rPr>
                      <w:rFonts w:ascii="Cambria Math" w:eastAsia="Palatino Linotype" w:hAnsi="Cambria Math" w:cs="Palatino Linotype"/>
                      <w:sz w:val="18"/>
                      <w:szCs w:val="18"/>
                      <w:lang w:val="en-US"/>
                    </w:rPr>
                    <m:t>treated absorbance</m:t>
                  </m:r>
                </m:num>
                <m:den>
                  <m:r>
                    <w:rPr>
                      <w:rFonts w:ascii="Cambria Math" w:eastAsia="Palatino Linotype" w:hAnsi="Cambria Math" w:cs="Palatino Linotype"/>
                      <w:sz w:val="18"/>
                      <w:szCs w:val="18"/>
                      <w:lang w:val="en-US"/>
                    </w:rPr>
                    <m:t>nontreated absorbance</m:t>
                  </m:r>
                </m:den>
              </m:f>
              <m:r>
                <w:rPr>
                  <w:rFonts w:ascii="Cambria Math" w:eastAsia="Palatino Linotype" w:hAnsi="Cambria Math" w:cs="Palatino Linotype"/>
                  <w:sz w:val="18"/>
                  <w:szCs w:val="18"/>
                  <w:lang w:val="en-US"/>
                </w:rPr>
                <m:t>*100</m:t>
              </m:r>
            </m:oMath>
            <w:r w:rsidR="00916D10" w:rsidRPr="00F4777F">
              <w:rPr>
                <w:rFonts w:ascii="Palatino Linotype" w:eastAsia="Palatino Linotype" w:hAnsi="Palatino Linotype" w:cs="Palatino Linotype"/>
                <w:sz w:val="18"/>
                <w:szCs w:val="18"/>
                <w:lang w:val="en-US"/>
              </w:rPr>
              <w:t>,</w:t>
            </w:r>
          </w:p>
          <w:p w14:paraId="7AF79566" w14:textId="39D7E756" w:rsidR="00916D10" w:rsidRPr="00F4777F" w:rsidRDefault="00916D10" w:rsidP="00916D10">
            <w:pPr>
              <w:spacing w:before="240" w:after="240"/>
              <w:jc w:val="center"/>
              <w:rPr>
                <w:rFonts w:eastAsia="Palatino Linotype" w:cs="Palatino Linotype"/>
                <w:sz w:val="18"/>
                <w:szCs w:val="18"/>
              </w:rPr>
            </w:pPr>
          </w:p>
        </w:tc>
        <w:tc>
          <w:tcPr>
            <w:tcW w:w="431" w:type="dxa"/>
            <w:vAlign w:val="center"/>
            <w:hideMark/>
          </w:tcPr>
          <w:p w14:paraId="072B6BFC" w14:textId="09815ACB" w:rsidR="00916D10" w:rsidRPr="00F4777F" w:rsidRDefault="00916D10" w:rsidP="00916D10">
            <w:pPr>
              <w:pStyle w:val="MDPI3aequationnumber"/>
              <w:spacing w:before="240" w:after="240" w:line="276" w:lineRule="auto"/>
            </w:pPr>
            <w:r w:rsidRPr="00F4777F">
              <w:t>(4)</w:t>
            </w:r>
          </w:p>
        </w:tc>
      </w:tr>
    </w:tbl>
    <w:p w14:paraId="246153BF" w14:textId="65A35461" w:rsidR="00ED2A4E" w:rsidRPr="00F4777F" w:rsidRDefault="00C505B5" w:rsidP="00916D10">
      <w:pPr>
        <w:spacing w:before="240" w:after="240"/>
        <w:jc w:val="both"/>
        <w:rPr>
          <w:rFonts w:ascii="Palatino Linotype" w:eastAsia="Palatino Linotype" w:hAnsi="Palatino Linotype" w:cs="Palatino Linotype"/>
          <w:sz w:val="18"/>
          <w:szCs w:val="18"/>
          <w:lang w:val="en-US"/>
        </w:rPr>
      </w:pPr>
      <w:bookmarkStart w:id="3" w:name="_Hlk64291424"/>
      <w:r w:rsidRPr="00F4777F">
        <w:rPr>
          <w:rFonts w:ascii="Palatino Linotype" w:eastAsia="Palatino Linotype" w:hAnsi="Palatino Linotype" w:cs="Palatino Linotype"/>
          <w:sz w:val="20"/>
          <w:szCs w:val="20"/>
          <w:lang w:val="en-US"/>
        </w:rPr>
        <w:t>where treated absorbance and non-treated absorbance are the net absorbance of cell samples treated with antibiotics and nontreated cells, respectively. Mean results where graphed using PRISM GraphPad 6.0, and error bars shows the SEM for each treatment.</w:t>
      </w:r>
      <w:bookmarkEnd w:id="1"/>
      <w:bookmarkEnd w:id="2"/>
      <w:bookmarkEnd w:id="3"/>
      <w:r w:rsidR="00916D10" w:rsidRPr="00F4777F">
        <w:rPr>
          <w:rFonts w:ascii="Palatino Linotype" w:eastAsia="Palatino Linotype" w:hAnsi="Palatino Linotype" w:cs="Palatino Linotype"/>
          <w:sz w:val="20"/>
          <w:szCs w:val="20"/>
          <w:lang w:val="en-US"/>
        </w:rPr>
        <w:t xml:space="preserve"> </w:t>
      </w:r>
      <w:r w:rsidR="00320289" w:rsidRPr="00F4777F">
        <w:rPr>
          <w:rFonts w:ascii="Palatino Linotype" w:eastAsia="Palatino Linotype" w:hAnsi="Palatino Linotype" w:cs="Palatino Linotype"/>
          <w:sz w:val="20"/>
          <w:szCs w:val="20"/>
          <w:lang w:val="en-US"/>
        </w:rPr>
        <w:t xml:space="preserve">In PS based cocktails assays, PS at a final concentration of 100 µg/mL was added to all dilutions except untreated controls (0 </w:t>
      </w:r>
      <w:r w:rsidR="00320289" w:rsidRPr="00F4777F">
        <w:rPr>
          <w:rFonts w:ascii="Palatino Linotype" w:eastAsia="Palatino Linotype" w:hAnsi="Palatino Linotype" w:cs="Palatino Linotype"/>
          <w:sz w:val="20"/>
          <w:szCs w:val="20"/>
        </w:rPr>
        <w:t>μ</w:t>
      </w:r>
      <w:r w:rsidR="00320289" w:rsidRPr="00F4777F">
        <w:rPr>
          <w:rFonts w:ascii="Palatino Linotype" w:eastAsia="Palatino Linotype" w:hAnsi="Palatino Linotype" w:cs="Palatino Linotype"/>
          <w:sz w:val="20"/>
          <w:szCs w:val="20"/>
          <w:lang w:val="en-US"/>
        </w:rPr>
        <w:t>g/mL). KPS doses included 10, 20, 30, 50, 125, 250, and 500</w:t>
      </w:r>
      <w:r w:rsidR="007E574A" w:rsidRPr="00F4777F">
        <w:rPr>
          <w:rFonts w:ascii="Palatino Linotype" w:eastAsia="Palatino Linotype" w:hAnsi="Palatino Linotype" w:cs="Palatino Linotype"/>
          <w:sz w:val="20"/>
          <w:szCs w:val="20"/>
          <w:lang w:val="en-US"/>
        </w:rPr>
        <w:t xml:space="preserve"> </w:t>
      </w:r>
      <w:r w:rsidR="00320289" w:rsidRPr="00F4777F">
        <w:rPr>
          <w:rFonts w:ascii="Palatino Linotype" w:eastAsia="Palatino Linotype" w:hAnsi="Palatino Linotype" w:cs="Palatino Linotype"/>
          <w:sz w:val="20"/>
          <w:szCs w:val="20"/>
        </w:rPr>
        <w:t>μ</w:t>
      </w:r>
      <w:r w:rsidR="00320289" w:rsidRPr="00F4777F">
        <w:rPr>
          <w:rFonts w:ascii="Palatino Linotype" w:eastAsia="Palatino Linotype" w:hAnsi="Palatino Linotype" w:cs="Palatino Linotype"/>
          <w:sz w:val="20"/>
          <w:szCs w:val="20"/>
          <w:lang w:val="en-US"/>
        </w:rPr>
        <w:t>g/mL and, EPS included, 2, 4, 6, 10, 25, 50, and 100</w:t>
      </w:r>
      <w:r w:rsidR="007E574A" w:rsidRPr="00F4777F">
        <w:rPr>
          <w:rFonts w:ascii="Palatino Linotype" w:eastAsia="Palatino Linotype" w:hAnsi="Palatino Linotype" w:cs="Palatino Linotype"/>
          <w:sz w:val="20"/>
          <w:szCs w:val="20"/>
          <w:lang w:val="en-US"/>
        </w:rPr>
        <w:t xml:space="preserve"> </w:t>
      </w:r>
      <w:r w:rsidR="00320289" w:rsidRPr="00F4777F">
        <w:rPr>
          <w:rFonts w:ascii="Palatino Linotype" w:eastAsia="Palatino Linotype" w:hAnsi="Palatino Linotype" w:cs="Palatino Linotype"/>
          <w:sz w:val="20"/>
          <w:szCs w:val="20"/>
        </w:rPr>
        <w:t>μ</w:t>
      </w:r>
      <w:r w:rsidR="00320289" w:rsidRPr="00F4777F">
        <w:rPr>
          <w:rFonts w:ascii="Palatino Linotype" w:eastAsia="Palatino Linotype" w:hAnsi="Palatino Linotype" w:cs="Palatino Linotype"/>
          <w:sz w:val="20"/>
          <w:szCs w:val="20"/>
          <w:lang w:val="en-US"/>
        </w:rPr>
        <w:t>g/mL plus a constant PS dose.</w:t>
      </w:r>
    </w:p>
    <w:p w14:paraId="44D67C7C" w14:textId="77777777" w:rsidR="00ED2A4E" w:rsidRPr="00F4777F" w:rsidRDefault="00320289" w:rsidP="00916D10">
      <w:pPr>
        <w:spacing w:before="240" w:after="240"/>
        <w:jc w:val="both"/>
        <w:rPr>
          <w:rFonts w:ascii="Palatino Linotype" w:eastAsia="Palatino Linotype" w:hAnsi="Palatino Linotype" w:cs="Palatino Linotype"/>
          <w:i/>
          <w:sz w:val="20"/>
          <w:szCs w:val="20"/>
          <w:lang w:val="en-US"/>
        </w:rPr>
      </w:pPr>
      <w:r w:rsidRPr="00F4777F">
        <w:rPr>
          <w:rFonts w:ascii="Palatino Linotype" w:eastAsia="Palatino Linotype" w:hAnsi="Palatino Linotype" w:cs="Palatino Linotype"/>
          <w:i/>
          <w:sz w:val="20"/>
          <w:szCs w:val="20"/>
          <w:lang w:val="en-US"/>
        </w:rPr>
        <w:t>Survival analysis</w:t>
      </w:r>
    </w:p>
    <w:p w14:paraId="7372806E" w14:textId="247E2BBA" w:rsidR="00ED2A4E" w:rsidRPr="00F4777F" w:rsidRDefault="00320289" w:rsidP="00916D10">
      <w:pPr>
        <w:spacing w:before="240" w:after="240"/>
        <w:rPr>
          <w:rFonts w:ascii="Palatino Linotype" w:eastAsia="Palatino Linotype" w:hAnsi="Palatino Linotype" w:cs="Palatino Linotype"/>
          <w:sz w:val="20"/>
          <w:szCs w:val="20"/>
          <w:lang w:val="en-US"/>
        </w:rPr>
      </w:pPr>
      <w:r w:rsidRPr="00F4777F">
        <w:rPr>
          <w:rFonts w:ascii="Palatino Linotype" w:eastAsia="Palatino Linotype" w:hAnsi="Palatino Linotype" w:cs="Palatino Linotype"/>
          <w:sz w:val="20"/>
          <w:szCs w:val="20"/>
          <w:lang w:val="en-US"/>
        </w:rPr>
        <w:t xml:space="preserve">During the </w:t>
      </w:r>
      <w:r w:rsidRPr="00F4777F">
        <w:rPr>
          <w:rFonts w:ascii="Palatino Linotype" w:eastAsia="Palatino Linotype" w:hAnsi="Palatino Linotype" w:cs="Palatino Linotype"/>
          <w:i/>
          <w:sz w:val="20"/>
          <w:szCs w:val="20"/>
          <w:lang w:val="en-US"/>
        </w:rPr>
        <w:t>in vivo</w:t>
      </w:r>
      <w:r w:rsidRPr="00F4777F">
        <w:rPr>
          <w:rFonts w:ascii="Palatino Linotype" w:eastAsia="Palatino Linotype" w:hAnsi="Palatino Linotype" w:cs="Palatino Linotype"/>
          <w:sz w:val="20"/>
          <w:szCs w:val="20"/>
          <w:lang w:val="en-US"/>
        </w:rPr>
        <w:t xml:space="preserve"> experiments, observations of water turbidity, temperature and pH were collected before and after each water change. Also, observations of each sea cucumber were collected, including if they were attached to the aquarium surface or rocks or if they look healthy (no skin ulcers). If an animal had small (&lt;1</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lang w:val="en-US"/>
        </w:rPr>
        <w:t>cm</w:t>
      </w:r>
      <w:r w:rsidRPr="00F4777F">
        <w:rPr>
          <w:rFonts w:ascii="Palatino Linotype" w:eastAsia="Palatino Linotype" w:hAnsi="Palatino Linotype" w:cs="Palatino Linotype"/>
          <w:sz w:val="20"/>
          <w:szCs w:val="20"/>
          <w:vertAlign w:val="superscript"/>
          <w:lang w:val="en-US"/>
        </w:rPr>
        <w:t>2</w:t>
      </w:r>
      <w:r w:rsidRPr="00F4777F">
        <w:rPr>
          <w:rFonts w:ascii="Palatino Linotype" w:eastAsia="Palatino Linotype" w:hAnsi="Palatino Linotype" w:cs="Palatino Linotype"/>
          <w:sz w:val="20"/>
          <w:szCs w:val="20"/>
          <w:lang w:val="en-US"/>
        </w:rPr>
        <w:t>) skin ulcer, they were transferred to a new aquarium and treated separately to healthy animals. If an animal died or had extensive skin lesions (&lt;1</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lang w:val="en-US"/>
        </w:rPr>
        <w:t>cm</w:t>
      </w:r>
      <w:r w:rsidRPr="00F4777F">
        <w:rPr>
          <w:rFonts w:ascii="Palatino Linotype" w:eastAsia="Palatino Linotype" w:hAnsi="Palatino Linotype" w:cs="Palatino Linotype"/>
          <w:sz w:val="20"/>
          <w:szCs w:val="20"/>
          <w:vertAlign w:val="superscript"/>
          <w:lang w:val="en-US"/>
        </w:rPr>
        <w:t>2</w:t>
      </w:r>
      <w:r w:rsidRPr="00F4777F">
        <w:rPr>
          <w:rFonts w:ascii="Palatino Linotype" w:eastAsia="Palatino Linotype" w:hAnsi="Palatino Linotype" w:cs="Palatino Linotype"/>
          <w:sz w:val="20"/>
          <w:szCs w:val="20"/>
          <w:lang w:val="en-US"/>
        </w:rPr>
        <w:t>), they were removed and sacrificed, remaining animals were transferred to a new aquarium. Because surviving animals were sacrificed 10</w:t>
      </w:r>
      <w:r w:rsidR="007E574A" w:rsidRPr="00F4777F">
        <w:rPr>
          <w:rFonts w:ascii="Palatino Linotype" w:eastAsia="Palatino Linotype" w:hAnsi="Palatino Linotype" w:cs="Palatino Linotype"/>
          <w:sz w:val="20"/>
          <w:szCs w:val="20"/>
          <w:lang w:val="en-US"/>
        </w:rPr>
        <w:t>-</w:t>
      </w:r>
      <w:r w:rsidRPr="00F4777F">
        <w:rPr>
          <w:rFonts w:ascii="Palatino Linotype" w:eastAsia="Palatino Linotype" w:hAnsi="Palatino Linotype" w:cs="Palatino Linotype"/>
          <w:sz w:val="20"/>
          <w:szCs w:val="20"/>
          <w:lang w:val="en-US"/>
        </w:rPr>
        <w:t>dpe, survival rate was observed for only 10</w:t>
      </w:r>
      <w:r w:rsidR="007E574A" w:rsidRPr="00F4777F">
        <w:rPr>
          <w:rFonts w:ascii="Palatino Linotype" w:eastAsia="Palatino Linotype" w:hAnsi="Palatino Linotype" w:cs="Palatino Linotype"/>
          <w:sz w:val="20"/>
          <w:szCs w:val="20"/>
          <w:lang w:val="en-US"/>
        </w:rPr>
        <w:t xml:space="preserve"> </w:t>
      </w:r>
      <w:r w:rsidRPr="00F4777F">
        <w:rPr>
          <w:rFonts w:ascii="Palatino Linotype" w:eastAsia="Palatino Linotype" w:hAnsi="Palatino Linotype" w:cs="Palatino Linotype"/>
          <w:sz w:val="20"/>
          <w:szCs w:val="20"/>
          <w:lang w:val="en-US"/>
        </w:rPr>
        <w:t xml:space="preserve">d after treatment. Survival analysis was performed creating a Kaplan-Meier survival curve.  The comparison of survival curves was done using a Log-rank (Mantel-Cox) test. Graphs and statistical analyses were performed using GraphPad Prism 6. </w:t>
      </w:r>
    </w:p>
    <w:p w14:paraId="17603C04" w14:textId="4BA22873" w:rsidR="00080526" w:rsidRDefault="00080526">
      <w:pPr>
        <w:spacing w:before="240" w:after="160" w:line="360" w:lineRule="auto"/>
        <w:rPr>
          <w:rFonts w:ascii="Palatino Linotype" w:eastAsia="Palatino Linotype" w:hAnsi="Palatino Linotype" w:cs="Palatino Linotype"/>
          <w:b/>
          <w:sz w:val="20"/>
          <w:szCs w:val="20"/>
          <w:lang w:val="en-US"/>
        </w:rPr>
      </w:pPr>
    </w:p>
    <w:p w14:paraId="26F6B346" w14:textId="614842B2" w:rsidR="00CC6A6E" w:rsidRDefault="00CC6A6E">
      <w:pPr>
        <w:spacing w:before="240" w:after="160" w:line="360" w:lineRule="auto"/>
        <w:rPr>
          <w:rFonts w:ascii="Palatino Linotype" w:eastAsia="Palatino Linotype" w:hAnsi="Palatino Linotype" w:cs="Palatino Linotype"/>
          <w:b/>
          <w:sz w:val="20"/>
          <w:szCs w:val="20"/>
          <w:lang w:val="en-US"/>
        </w:rPr>
      </w:pPr>
    </w:p>
    <w:p w14:paraId="2C337E55" w14:textId="4E824A49" w:rsidR="00CC6A6E" w:rsidRDefault="00CC6A6E">
      <w:pPr>
        <w:spacing w:before="240" w:after="160" w:line="360" w:lineRule="auto"/>
        <w:rPr>
          <w:rFonts w:ascii="Palatino Linotype" w:eastAsia="Palatino Linotype" w:hAnsi="Palatino Linotype" w:cs="Palatino Linotype"/>
          <w:b/>
          <w:sz w:val="20"/>
          <w:szCs w:val="20"/>
          <w:lang w:val="en-US"/>
        </w:rPr>
      </w:pPr>
    </w:p>
    <w:p w14:paraId="7768B054" w14:textId="0641703E" w:rsidR="00CC6A6E" w:rsidRDefault="00CC6A6E">
      <w:pPr>
        <w:spacing w:before="240" w:after="160" w:line="360" w:lineRule="auto"/>
        <w:rPr>
          <w:rFonts w:ascii="Palatino Linotype" w:eastAsia="Palatino Linotype" w:hAnsi="Palatino Linotype" w:cs="Palatino Linotype"/>
          <w:b/>
          <w:sz w:val="20"/>
          <w:szCs w:val="20"/>
          <w:lang w:val="en-US"/>
        </w:rPr>
      </w:pPr>
    </w:p>
    <w:p w14:paraId="177BB964" w14:textId="0083F405" w:rsidR="00CC6A6E" w:rsidRDefault="00CC6A6E">
      <w:pPr>
        <w:spacing w:before="240" w:after="160" w:line="360" w:lineRule="auto"/>
        <w:rPr>
          <w:rFonts w:ascii="Palatino Linotype" w:eastAsia="Palatino Linotype" w:hAnsi="Palatino Linotype" w:cs="Palatino Linotype"/>
          <w:b/>
          <w:sz w:val="20"/>
          <w:szCs w:val="20"/>
          <w:lang w:val="en-US"/>
        </w:rPr>
      </w:pPr>
    </w:p>
    <w:p w14:paraId="61350A41" w14:textId="77777777" w:rsidR="00CC6A6E" w:rsidRPr="00F4777F" w:rsidRDefault="00CC6A6E">
      <w:pPr>
        <w:spacing w:before="240" w:after="160" w:line="360" w:lineRule="auto"/>
        <w:rPr>
          <w:rFonts w:ascii="Palatino Linotype" w:eastAsia="Palatino Linotype" w:hAnsi="Palatino Linotype" w:cs="Palatino Linotype"/>
          <w:b/>
          <w:sz w:val="20"/>
          <w:szCs w:val="20"/>
          <w:lang w:val="en-US"/>
        </w:rPr>
      </w:pPr>
    </w:p>
    <w:p w14:paraId="186B17C7" w14:textId="5F7BF54C" w:rsidR="00916D10" w:rsidRPr="00F4777F" w:rsidRDefault="00916D10">
      <w:pPr>
        <w:spacing w:before="240" w:after="160" w:line="360" w:lineRule="auto"/>
        <w:rPr>
          <w:rFonts w:ascii="Palatino Linotype" w:eastAsia="Palatino Linotype" w:hAnsi="Palatino Linotype" w:cs="Palatino Linotype"/>
          <w:b/>
          <w:sz w:val="20"/>
          <w:szCs w:val="20"/>
          <w:lang w:val="en-US"/>
        </w:rPr>
      </w:pPr>
    </w:p>
    <w:p w14:paraId="317E53CE" w14:textId="77777777" w:rsidR="00916D10" w:rsidRPr="00F4777F" w:rsidRDefault="00916D10">
      <w:pPr>
        <w:spacing w:before="240" w:after="160" w:line="360" w:lineRule="auto"/>
        <w:rPr>
          <w:rFonts w:ascii="Palatino Linotype" w:eastAsia="Palatino Linotype" w:hAnsi="Palatino Linotype" w:cs="Palatino Linotype"/>
          <w:b/>
          <w:sz w:val="20"/>
          <w:szCs w:val="20"/>
          <w:lang w:val="en-US"/>
        </w:rPr>
      </w:pPr>
    </w:p>
    <w:p w14:paraId="0AB5DE92" w14:textId="77777777" w:rsidR="00ED2A4E" w:rsidRPr="00F4777F" w:rsidRDefault="00ED2A4E">
      <w:pPr>
        <w:spacing w:before="240" w:after="160" w:line="360" w:lineRule="auto"/>
        <w:rPr>
          <w:rFonts w:ascii="Times New Roman" w:eastAsia="Times New Roman" w:hAnsi="Times New Roman" w:cs="Times New Roman"/>
          <w:b/>
          <w:sz w:val="24"/>
          <w:szCs w:val="24"/>
          <w:lang w:val="en-US"/>
        </w:rPr>
      </w:pPr>
    </w:p>
    <w:p w14:paraId="7E283C03" w14:textId="77777777" w:rsidR="00ED2A4E" w:rsidRPr="00F4777F" w:rsidRDefault="00ED2A4E">
      <w:pPr>
        <w:spacing w:before="240" w:after="160" w:line="360" w:lineRule="auto"/>
        <w:rPr>
          <w:rFonts w:ascii="Times New Roman" w:eastAsia="Times New Roman" w:hAnsi="Times New Roman" w:cs="Times New Roman"/>
          <w:b/>
          <w:sz w:val="24"/>
          <w:szCs w:val="24"/>
          <w:lang w:val="en-US"/>
        </w:rPr>
      </w:pPr>
    </w:p>
    <w:p w14:paraId="68932909" w14:textId="77777777" w:rsidR="00ED2A4E" w:rsidRPr="00F4777F" w:rsidRDefault="00ED2A4E">
      <w:pPr>
        <w:spacing w:before="240" w:after="160" w:line="360" w:lineRule="auto"/>
        <w:rPr>
          <w:rFonts w:ascii="Times New Roman" w:eastAsia="Times New Roman" w:hAnsi="Times New Roman" w:cs="Times New Roman"/>
          <w:b/>
          <w:sz w:val="24"/>
          <w:szCs w:val="24"/>
          <w:lang w:val="en-US"/>
        </w:rPr>
      </w:pPr>
    </w:p>
    <w:p w14:paraId="75481471" w14:textId="77777777" w:rsidR="00ED2A4E" w:rsidRPr="00F4777F" w:rsidRDefault="00320289">
      <w:pPr>
        <w:pBdr>
          <w:top w:val="nil"/>
          <w:left w:val="nil"/>
          <w:bottom w:val="nil"/>
          <w:right w:val="nil"/>
          <w:between w:val="nil"/>
        </w:pBdr>
        <w:spacing w:after="160" w:line="259" w:lineRule="auto"/>
        <w:rPr>
          <w:rFonts w:ascii="Palatino Linotype" w:eastAsia="Times New Roman" w:hAnsi="Palatino Linotype" w:cs="Times New Roman"/>
          <w:sz w:val="20"/>
          <w:szCs w:val="20"/>
          <w:lang w:val="en-US"/>
        </w:rPr>
      </w:pPr>
      <w:r w:rsidRPr="00F4777F">
        <w:rPr>
          <w:rFonts w:ascii="Palatino Linotype" w:eastAsia="Times New Roman" w:hAnsi="Palatino Linotype" w:cs="Times New Roman"/>
          <w:b/>
          <w:sz w:val="20"/>
          <w:szCs w:val="20"/>
          <w:lang w:val="en-US"/>
        </w:rPr>
        <w:t>Table S1:</w:t>
      </w:r>
      <w:r w:rsidRPr="00F4777F">
        <w:rPr>
          <w:rFonts w:ascii="Palatino Linotype" w:eastAsia="Times New Roman" w:hAnsi="Palatino Linotype" w:cs="Times New Roman"/>
          <w:sz w:val="20"/>
          <w:szCs w:val="20"/>
          <w:lang w:val="en-US"/>
        </w:rPr>
        <w:t xml:space="preserve"> </w:t>
      </w:r>
      <w:r w:rsidRPr="00F4777F">
        <w:rPr>
          <w:rFonts w:ascii="Palatino Linotype" w:eastAsia="Times New Roman" w:hAnsi="Palatino Linotype" w:cs="Times New Roman"/>
          <w:i/>
          <w:sz w:val="20"/>
          <w:szCs w:val="20"/>
          <w:lang w:val="en-US"/>
        </w:rPr>
        <w:t>In vivo</w:t>
      </w:r>
      <w:r w:rsidRPr="00F4777F">
        <w:rPr>
          <w:rFonts w:ascii="Palatino Linotype" w:eastAsia="Times New Roman" w:hAnsi="Palatino Linotype" w:cs="Times New Roman"/>
          <w:sz w:val="20"/>
          <w:szCs w:val="20"/>
          <w:lang w:val="en-US"/>
        </w:rPr>
        <w:t xml:space="preserve"> treatments design</w:t>
      </w:r>
    </w:p>
    <w:tbl>
      <w:tblPr>
        <w:tblStyle w:val="a"/>
        <w:tblW w:w="9449"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529"/>
        <w:gridCol w:w="1740"/>
        <w:gridCol w:w="6180"/>
      </w:tblGrid>
      <w:tr w:rsidR="00ED2A4E" w:rsidRPr="00F4777F" w14:paraId="6E4C7AA9" w14:textId="77777777">
        <w:trPr>
          <w:trHeight w:val="415"/>
          <w:jc w:val="center"/>
        </w:trPr>
        <w:tc>
          <w:tcPr>
            <w:tcW w:w="1529" w:type="dxa"/>
            <w:shd w:val="clear" w:color="auto" w:fill="999999"/>
            <w:tcMar>
              <w:top w:w="100" w:type="dxa"/>
              <w:left w:w="100" w:type="dxa"/>
              <w:bottom w:w="100" w:type="dxa"/>
              <w:right w:w="100" w:type="dxa"/>
            </w:tcMar>
          </w:tcPr>
          <w:p w14:paraId="6945205E" w14:textId="77777777" w:rsidR="00ED2A4E" w:rsidRPr="00F4777F" w:rsidRDefault="00ED2A4E">
            <w:pPr>
              <w:widowControl w:val="0"/>
              <w:spacing w:line="240" w:lineRule="auto"/>
              <w:jc w:val="center"/>
              <w:rPr>
                <w:rFonts w:ascii="Palatino Linotype" w:eastAsia="Times New Roman" w:hAnsi="Palatino Linotype" w:cs="Times New Roman"/>
                <w:sz w:val="20"/>
                <w:szCs w:val="20"/>
                <w:lang w:val="en-US"/>
              </w:rPr>
            </w:pPr>
          </w:p>
        </w:tc>
        <w:tc>
          <w:tcPr>
            <w:tcW w:w="1740" w:type="dxa"/>
            <w:shd w:val="clear" w:color="auto" w:fill="999999"/>
            <w:tcMar>
              <w:top w:w="100" w:type="dxa"/>
              <w:left w:w="100" w:type="dxa"/>
              <w:bottom w:w="100" w:type="dxa"/>
              <w:right w:w="100" w:type="dxa"/>
            </w:tcMar>
          </w:tcPr>
          <w:p w14:paraId="1BF7B6F4" w14:textId="77777777" w:rsidR="00ED2A4E" w:rsidRPr="00F4777F" w:rsidRDefault="00320289">
            <w:pPr>
              <w:widowControl w:val="0"/>
              <w:pBdr>
                <w:top w:val="nil"/>
                <w:left w:val="nil"/>
                <w:bottom w:val="nil"/>
                <w:right w:val="nil"/>
                <w:between w:val="nil"/>
              </w:pBdr>
              <w:spacing w:line="240" w:lineRule="auto"/>
              <w:jc w:val="center"/>
              <w:rPr>
                <w:rFonts w:ascii="Palatino Linotype" w:eastAsia="Times New Roman" w:hAnsi="Palatino Linotype" w:cs="Times New Roman"/>
                <w:sz w:val="20"/>
                <w:szCs w:val="20"/>
              </w:rPr>
            </w:pPr>
            <w:proofErr w:type="spellStart"/>
            <w:r w:rsidRPr="00F4777F">
              <w:rPr>
                <w:rFonts w:ascii="Palatino Linotype" w:eastAsia="Times New Roman" w:hAnsi="Palatino Linotype" w:cs="Times New Roman"/>
                <w:sz w:val="20"/>
                <w:szCs w:val="20"/>
              </w:rPr>
              <w:t>Abbreviation</w:t>
            </w:r>
            <w:proofErr w:type="spellEnd"/>
          </w:p>
        </w:tc>
        <w:tc>
          <w:tcPr>
            <w:tcW w:w="6180" w:type="dxa"/>
            <w:shd w:val="clear" w:color="auto" w:fill="999999"/>
            <w:tcMar>
              <w:top w:w="100" w:type="dxa"/>
              <w:left w:w="100" w:type="dxa"/>
              <w:bottom w:w="100" w:type="dxa"/>
              <w:right w:w="100" w:type="dxa"/>
            </w:tcMar>
          </w:tcPr>
          <w:p w14:paraId="09326B56" w14:textId="77777777" w:rsidR="00ED2A4E" w:rsidRPr="00F4777F" w:rsidRDefault="00320289">
            <w:pPr>
              <w:widowControl w:val="0"/>
              <w:pBdr>
                <w:top w:val="nil"/>
                <w:left w:val="nil"/>
                <w:bottom w:val="nil"/>
                <w:right w:val="nil"/>
                <w:between w:val="nil"/>
              </w:pBdr>
              <w:spacing w:line="240" w:lineRule="auto"/>
              <w:jc w:val="center"/>
              <w:rPr>
                <w:rFonts w:ascii="Palatino Linotype" w:eastAsia="Times New Roman" w:hAnsi="Palatino Linotype" w:cs="Times New Roman"/>
                <w:sz w:val="20"/>
                <w:szCs w:val="20"/>
              </w:rPr>
            </w:pPr>
            <w:proofErr w:type="spellStart"/>
            <w:r w:rsidRPr="00F4777F">
              <w:rPr>
                <w:rFonts w:ascii="Palatino Linotype" w:eastAsia="Times New Roman" w:hAnsi="Palatino Linotype" w:cs="Times New Roman"/>
                <w:sz w:val="20"/>
                <w:szCs w:val="20"/>
              </w:rPr>
              <w:t>Treatment</w:t>
            </w:r>
            <w:proofErr w:type="spellEnd"/>
          </w:p>
        </w:tc>
      </w:tr>
      <w:tr w:rsidR="00ED2A4E" w:rsidRPr="00CC6A6E" w14:paraId="7EEBC6E5" w14:textId="77777777">
        <w:trPr>
          <w:trHeight w:val="415"/>
          <w:jc w:val="center"/>
        </w:trPr>
        <w:tc>
          <w:tcPr>
            <w:tcW w:w="1529" w:type="dxa"/>
            <w:vMerge w:val="restart"/>
            <w:shd w:val="clear" w:color="auto" w:fill="999999"/>
            <w:tcMar>
              <w:top w:w="100" w:type="dxa"/>
              <w:left w:w="100" w:type="dxa"/>
              <w:bottom w:w="100" w:type="dxa"/>
              <w:right w:w="100" w:type="dxa"/>
            </w:tcMar>
          </w:tcPr>
          <w:p w14:paraId="070A9CFC" w14:textId="77777777" w:rsidR="00ED2A4E" w:rsidRPr="00F4777F" w:rsidRDefault="00ED2A4E">
            <w:pPr>
              <w:widowControl w:val="0"/>
              <w:spacing w:line="240" w:lineRule="auto"/>
              <w:jc w:val="center"/>
              <w:rPr>
                <w:rFonts w:ascii="Palatino Linotype" w:eastAsia="Times New Roman" w:hAnsi="Palatino Linotype" w:cs="Times New Roman"/>
                <w:sz w:val="20"/>
                <w:szCs w:val="20"/>
              </w:rPr>
            </w:pPr>
          </w:p>
          <w:p w14:paraId="3D351F20" w14:textId="77777777" w:rsidR="00ED2A4E" w:rsidRPr="00F4777F" w:rsidRDefault="00ED2A4E">
            <w:pPr>
              <w:widowControl w:val="0"/>
              <w:spacing w:line="240" w:lineRule="auto"/>
              <w:jc w:val="center"/>
              <w:rPr>
                <w:rFonts w:ascii="Palatino Linotype" w:eastAsia="Times New Roman" w:hAnsi="Palatino Linotype" w:cs="Times New Roman"/>
                <w:sz w:val="20"/>
                <w:szCs w:val="20"/>
              </w:rPr>
            </w:pPr>
          </w:p>
          <w:p w14:paraId="39F7F594" w14:textId="77777777" w:rsidR="00ED2A4E" w:rsidRPr="00F4777F" w:rsidRDefault="00ED2A4E">
            <w:pPr>
              <w:widowControl w:val="0"/>
              <w:spacing w:line="240" w:lineRule="auto"/>
              <w:jc w:val="center"/>
              <w:rPr>
                <w:rFonts w:ascii="Palatino Linotype" w:eastAsia="Times New Roman" w:hAnsi="Palatino Linotype" w:cs="Times New Roman"/>
                <w:sz w:val="20"/>
                <w:szCs w:val="20"/>
              </w:rPr>
            </w:pPr>
          </w:p>
          <w:p w14:paraId="7894F844" w14:textId="77777777" w:rsidR="00ED2A4E" w:rsidRPr="00F4777F" w:rsidRDefault="00ED2A4E">
            <w:pPr>
              <w:widowControl w:val="0"/>
              <w:spacing w:line="240" w:lineRule="auto"/>
              <w:jc w:val="center"/>
              <w:rPr>
                <w:rFonts w:ascii="Palatino Linotype" w:eastAsia="Times New Roman" w:hAnsi="Palatino Linotype" w:cs="Times New Roman"/>
                <w:sz w:val="20"/>
                <w:szCs w:val="20"/>
              </w:rPr>
            </w:pPr>
          </w:p>
          <w:p w14:paraId="0605502D" w14:textId="77777777" w:rsidR="00ED2A4E" w:rsidRPr="00F4777F" w:rsidRDefault="00ED2A4E">
            <w:pPr>
              <w:widowControl w:val="0"/>
              <w:spacing w:line="240" w:lineRule="auto"/>
              <w:jc w:val="center"/>
              <w:rPr>
                <w:rFonts w:ascii="Palatino Linotype" w:eastAsia="Times New Roman" w:hAnsi="Palatino Linotype" w:cs="Times New Roman"/>
                <w:sz w:val="20"/>
                <w:szCs w:val="20"/>
              </w:rPr>
            </w:pPr>
          </w:p>
          <w:p w14:paraId="14E19169" w14:textId="77777777" w:rsidR="00ED2A4E" w:rsidRPr="00F4777F" w:rsidRDefault="00320289">
            <w:pPr>
              <w:widowControl w:val="0"/>
              <w:spacing w:line="240" w:lineRule="auto"/>
              <w:jc w:val="center"/>
              <w:rPr>
                <w:rFonts w:ascii="Palatino Linotype" w:eastAsia="Times New Roman" w:hAnsi="Palatino Linotype" w:cs="Times New Roman"/>
                <w:sz w:val="20"/>
                <w:szCs w:val="20"/>
              </w:rPr>
            </w:pPr>
            <w:r w:rsidRPr="00F4777F">
              <w:rPr>
                <w:rFonts w:ascii="Palatino Linotype" w:eastAsia="Times New Roman" w:hAnsi="Palatino Linotype" w:cs="Times New Roman"/>
                <w:sz w:val="20"/>
                <w:szCs w:val="20"/>
              </w:rPr>
              <w:t xml:space="preserve">Experimental </w:t>
            </w:r>
            <w:proofErr w:type="spellStart"/>
            <w:r w:rsidRPr="00F4777F">
              <w:rPr>
                <w:rFonts w:ascii="Palatino Linotype" w:eastAsia="Times New Roman" w:hAnsi="Palatino Linotype" w:cs="Times New Roman"/>
                <w:sz w:val="20"/>
                <w:szCs w:val="20"/>
              </w:rPr>
              <w:t>groups</w:t>
            </w:r>
            <w:proofErr w:type="spellEnd"/>
          </w:p>
        </w:tc>
        <w:tc>
          <w:tcPr>
            <w:tcW w:w="1740" w:type="dxa"/>
            <w:shd w:val="clear" w:color="auto" w:fill="F3F3F3"/>
            <w:tcMar>
              <w:top w:w="100" w:type="dxa"/>
              <w:left w:w="100" w:type="dxa"/>
              <w:bottom w:w="100" w:type="dxa"/>
              <w:right w:w="100" w:type="dxa"/>
            </w:tcMar>
          </w:tcPr>
          <w:p w14:paraId="2C94326D" w14:textId="77777777" w:rsidR="00ED2A4E" w:rsidRPr="00F4777F" w:rsidRDefault="00320289">
            <w:pPr>
              <w:spacing w:after="160" w:line="259" w:lineRule="auto"/>
              <w:jc w:val="center"/>
              <w:rPr>
                <w:rFonts w:ascii="Palatino Linotype" w:eastAsia="Times New Roman" w:hAnsi="Palatino Linotype" w:cs="Times New Roman"/>
                <w:sz w:val="20"/>
                <w:szCs w:val="20"/>
              </w:rPr>
            </w:pPr>
            <w:r w:rsidRPr="00F4777F">
              <w:rPr>
                <w:rFonts w:ascii="Palatino Linotype" w:eastAsia="Times New Roman" w:hAnsi="Palatino Linotype" w:cs="Times New Roman"/>
                <w:sz w:val="20"/>
                <w:szCs w:val="20"/>
              </w:rPr>
              <w:t>PS</w:t>
            </w:r>
          </w:p>
        </w:tc>
        <w:tc>
          <w:tcPr>
            <w:tcW w:w="6180" w:type="dxa"/>
            <w:shd w:val="clear" w:color="auto" w:fill="F3F3F3"/>
            <w:tcMar>
              <w:top w:w="100" w:type="dxa"/>
              <w:left w:w="100" w:type="dxa"/>
              <w:bottom w:w="100" w:type="dxa"/>
              <w:right w:w="100" w:type="dxa"/>
            </w:tcMar>
          </w:tcPr>
          <w:p w14:paraId="4C5F4BCD" w14:textId="5F41AE8A" w:rsidR="00ED2A4E" w:rsidRPr="00B4354A" w:rsidRDefault="00320289">
            <w:pPr>
              <w:spacing w:after="160" w:line="259" w:lineRule="auto"/>
              <w:jc w:val="center"/>
              <w:rPr>
                <w:rFonts w:ascii="Palatino Linotype" w:eastAsia="Times New Roman" w:hAnsi="Palatino Linotype" w:cs="Times New Roman"/>
                <w:sz w:val="20"/>
                <w:szCs w:val="20"/>
                <w:lang w:val="en-US"/>
              </w:rPr>
            </w:pPr>
            <w:r w:rsidRPr="00B4354A">
              <w:rPr>
                <w:rFonts w:ascii="Palatino Linotype" w:eastAsia="Times New Roman" w:hAnsi="Palatino Linotype" w:cs="Times New Roman"/>
                <w:sz w:val="20"/>
                <w:szCs w:val="20"/>
                <w:lang w:val="en-US"/>
              </w:rPr>
              <w:t>Penicillin-Streptomycin (100 µg/mL)</w:t>
            </w:r>
            <w:r w:rsidR="00B4354A">
              <w:rPr>
                <w:rFonts w:ascii="Palatino Linotype" w:eastAsia="Times New Roman" w:hAnsi="Palatino Linotype" w:cs="Times New Roman"/>
                <w:sz w:val="20"/>
                <w:szCs w:val="20"/>
                <w:vertAlign w:val="superscript"/>
                <w:lang w:val="en-US"/>
              </w:rPr>
              <w:t xml:space="preserve"> a</w:t>
            </w:r>
          </w:p>
        </w:tc>
      </w:tr>
      <w:tr w:rsidR="00ED2A4E" w:rsidRPr="00CC6A6E" w14:paraId="4702DAC3" w14:textId="77777777">
        <w:trPr>
          <w:trHeight w:val="415"/>
          <w:jc w:val="center"/>
        </w:trPr>
        <w:tc>
          <w:tcPr>
            <w:tcW w:w="1529" w:type="dxa"/>
            <w:vMerge/>
            <w:shd w:val="clear" w:color="auto" w:fill="999999"/>
            <w:tcMar>
              <w:top w:w="100" w:type="dxa"/>
              <w:left w:w="100" w:type="dxa"/>
              <w:bottom w:w="100" w:type="dxa"/>
              <w:right w:w="100" w:type="dxa"/>
            </w:tcMar>
          </w:tcPr>
          <w:p w14:paraId="363A2DB6" w14:textId="77777777" w:rsidR="00ED2A4E" w:rsidRPr="00B4354A" w:rsidRDefault="00ED2A4E">
            <w:pPr>
              <w:widowControl w:val="0"/>
              <w:rPr>
                <w:rFonts w:ascii="Palatino Linotype" w:eastAsia="Times New Roman" w:hAnsi="Palatino Linotype" w:cs="Times New Roman"/>
                <w:sz w:val="24"/>
                <w:szCs w:val="24"/>
                <w:lang w:val="en-US"/>
              </w:rPr>
            </w:pPr>
          </w:p>
        </w:tc>
        <w:tc>
          <w:tcPr>
            <w:tcW w:w="1740" w:type="dxa"/>
            <w:shd w:val="clear" w:color="auto" w:fill="F3F3F3"/>
            <w:tcMar>
              <w:top w:w="100" w:type="dxa"/>
              <w:left w:w="100" w:type="dxa"/>
              <w:bottom w:w="100" w:type="dxa"/>
              <w:right w:w="100" w:type="dxa"/>
            </w:tcMar>
          </w:tcPr>
          <w:p w14:paraId="70F875F5" w14:textId="77777777" w:rsidR="00ED2A4E" w:rsidRPr="00F4777F" w:rsidRDefault="00320289">
            <w:pPr>
              <w:spacing w:after="160" w:line="259" w:lineRule="auto"/>
              <w:jc w:val="center"/>
              <w:rPr>
                <w:rFonts w:ascii="Palatino Linotype" w:eastAsia="Times New Roman" w:hAnsi="Palatino Linotype" w:cs="Times New Roman"/>
                <w:sz w:val="20"/>
                <w:szCs w:val="20"/>
              </w:rPr>
            </w:pPr>
            <w:r w:rsidRPr="00F4777F">
              <w:rPr>
                <w:rFonts w:ascii="Palatino Linotype" w:eastAsia="Times New Roman" w:hAnsi="Palatino Linotype" w:cs="Times New Roman"/>
                <w:sz w:val="20"/>
                <w:szCs w:val="20"/>
              </w:rPr>
              <w:t>E4PS</w:t>
            </w:r>
          </w:p>
        </w:tc>
        <w:tc>
          <w:tcPr>
            <w:tcW w:w="6180" w:type="dxa"/>
            <w:shd w:val="clear" w:color="auto" w:fill="F3F3F3"/>
            <w:tcMar>
              <w:top w:w="100" w:type="dxa"/>
              <w:left w:w="100" w:type="dxa"/>
              <w:bottom w:w="100" w:type="dxa"/>
              <w:right w:w="100" w:type="dxa"/>
            </w:tcMar>
          </w:tcPr>
          <w:p w14:paraId="06D225DA" w14:textId="7B53FF6C" w:rsidR="00ED2A4E" w:rsidRPr="00F4777F" w:rsidRDefault="00320289">
            <w:pPr>
              <w:spacing w:after="160" w:line="259" w:lineRule="auto"/>
              <w:jc w:val="center"/>
              <w:rPr>
                <w:rFonts w:ascii="Palatino Linotype" w:eastAsia="Times New Roman" w:hAnsi="Palatino Linotype" w:cs="Times New Roman"/>
                <w:sz w:val="20"/>
                <w:szCs w:val="20"/>
                <w:lang w:val="en-US"/>
              </w:rPr>
            </w:pPr>
            <w:r w:rsidRPr="00F4777F">
              <w:rPr>
                <w:rFonts w:ascii="Palatino Linotype" w:eastAsia="Times New Roman" w:hAnsi="Palatino Linotype" w:cs="Times New Roman"/>
                <w:sz w:val="20"/>
                <w:szCs w:val="20"/>
                <w:lang w:val="en-US"/>
              </w:rPr>
              <w:t>Penicillin-Streptomycin (100 µg/mL) + Erythromycin (4 µg/mL)</w:t>
            </w:r>
            <w:r w:rsidR="00B4354A">
              <w:rPr>
                <w:rFonts w:ascii="Palatino Linotype" w:eastAsia="Times New Roman" w:hAnsi="Palatino Linotype" w:cs="Times New Roman"/>
                <w:sz w:val="20"/>
                <w:szCs w:val="20"/>
                <w:vertAlign w:val="superscript"/>
                <w:lang w:val="en-US"/>
              </w:rPr>
              <w:t xml:space="preserve"> a</w:t>
            </w:r>
          </w:p>
        </w:tc>
      </w:tr>
      <w:tr w:rsidR="00ED2A4E" w:rsidRPr="00CC6A6E" w14:paraId="7BAA90BA" w14:textId="77777777">
        <w:trPr>
          <w:trHeight w:val="415"/>
          <w:jc w:val="center"/>
        </w:trPr>
        <w:tc>
          <w:tcPr>
            <w:tcW w:w="1529" w:type="dxa"/>
            <w:vMerge/>
            <w:shd w:val="clear" w:color="auto" w:fill="999999"/>
            <w:tcMar>
              <w:top w:w="100" w:type="dxa"/>
              <w:left w:w="100" w:type="dxa"/>
              <w:bottom w:w="100" w:type="dxa"/>
              <w:right w:w="100" w:type="dxa"/>
            </w:tcMar>
          </w:tcPr>
          <w:p w14:paraId="538F3804" w14:textId="77777777" w:rsidR="00ED2A4E" w:rsidRPr="00F4777F" w:rsidRDefault="00ED2A4E">
            <w:pPr>
              <w:widowControl w:val="0"/>
              <w:rPr>
                <w:rFonts w:ascii="Palatino Linotype" w:eastAsia="Times New Roman" w:hAnsi="Palatino Linotype" w:cs="Times New Roman"/>
                <w:sz w:val="24"/>
                <w:szCs w:val="24"/>
                <w:lang w:val="en-US"/>
              </w:rPr>
            </w:pPr>
          </w:p>
        </w:tc>
        <w:tc>
          <w:tcPr>
            <w:tcW w:w="1740" w:type="dxa"/>
            <w:shd w:val="clear" w:color="auto" w:fill="F3F3F3"/>
            <w:tcMar>
              <w:top w:w="100" w:type="dxa"/>
              <w:left w:w="100" w:type="dxa"/>
              <w:bottom w:w="100" w:type="dxa"/>
              <w:right w:w="100" w:type="dxa"/>
            </w:tcMar>
          </w:tcPr>
          <w:p w14:paraId="3864CEBD" w14:textId="77777777" w:rsidR="00ED2A4E" w:rsidRPr="00F4777F" w:rsidRDefault="00320289">
            <w:pPr>
              <w:spacing w:after="160" w:line="259" w:lineRule="auto"/>
              <w:jc w:val="center"/>
              <w:rPr>
                <w:rFonts w:ascii="Palatino Linotype" w:eastAsia="Times New Roman" w:hAnsi="Palatino Linotype" w:cs="Times New Roman"/>
                <w:sz w:val="20"/>
                <w:szCs w:val="20"/>
              </w:rPr>
            </w:pPr>
            <w:r w:rsidRPr="00F4777F">
              <w:rPr>
                <w:rFonts w:ascii="Palatino Linotype" w:eastAsia="Times New Roman" w:hAnsi="Palatino Linotype" w:cs="Times New Roman"/>
                <w:sz w:val="20"/>
                <w:szCs w:val="20"/>
              </w:rPr>
              <w:t>E20PS</w:t>
            </w:r>
          </w:p>
        </w:tc>
        <w:tc>
          <w:tcPr>
            <w:tcW w:w="6180" w:type="dxa"/>
            <w:shd w:val="clear" w:color="auto" w:fill="F3F3F3"/>
            <w:tcMar>
              <w:top w:w="100" w:type="dxa"/>
              <w:left w:w="100" w:type="dxa"/>
              <w:bottom w:w="100" w:type="dxa"/>
              <w:right w:w="100" w:type="dxa"/>
            </w:tcMar>
          </w:tcPr>
          <w:p w14:paraId="0E5C07F9" w14:textId="420D3021" w:rsidR="00ED2A4E" w:rsidRPr="00F4777F" w:rsidRDefault="00320289">
            <w:pPr>
              <w:spacing w:after="160" w:line="259" w:lineRule="auto"/>
              <w:jc w:val="center"/>
              <w:rPr>
                <w:rFonts w:ascii="Palatino Linotype" w:eastAsia="Times New Roman" w:hAnsi="Palatino Linotype" w:cs="Times New Roman"/>
                <w:sz w:val="20"/>
                <w:szCs w:val="20"/>
                <w:lang w:val="en-US"/>
              </w:rPr>
            </w:pPr>
            <w:r w:rsidRPr="00F4777F">
              <w:rPr>
                <w:rFonts w:ascii="Palatino Linotype" w:eastAsia="Times New Roman" w:hAnsi="Palatino Linotype" w:cs="Times New Roman"/>
                <w:sz w:val="20"/>
                <w:szCs w:val="20"/>
                <w:lang w:val="en-US"/>
              </w:rPr>
              <w:t>Penicillin-Streptomycin (100 µg/mL) + Erythromycin (20 µg/mL)</w:t>
            </w:r>
            <w:r w:rsidR="00B4354A">
              <w:rPr>
                <w:rFonts w:ascii="Palatino Linotype" w:eastAsia="Times New Roman" w:hAnsi="Palatino Linotype" w:cs="Times New Roman"/>
                <w:sz w:val="20"/>
                <w:szCs w:val="20"/>
                <w:vertAlign w:val="superscript"/>
                <w:lang w:val="en-US"/>
              </w:rPr>
              <w:t xml:space="preserve"> a</w:t>
            </w:r>
          </w:p>
        </w:tc>
      </w:tr>
      <w:tr w:rsidR="00ED2A4E" w:rsidRPr="00CC6A6E" w14:paraId="6F162D74" w14:textId="77777777">
        <w:trPr>
          <w:trHeight w:val="415"/>
          <w:jc w:val="center"/>
        </w:trPr>
        <w:tc>
          <w:tcPr>
            <w:tcW w:w="1529" w:type="dxa"/>
            <w:vMerge/>
            <w:shd w:val="clear" w:color="auto" w:fill="999999"/>
            <w:tcMar>
              <w:top w:w="100" w:type="dxa"/>
              <w:left w:w="100" w:type="dxa"/>
              <w:bottom w:w="100" w:type="dxa"/>
              <w:right w:w="100" w:type="dxa"/>
            </w:tcMar>
          </w:tcPr>
          <w:p w14:paraId="597F3564" w14:textId="77777777" w:rsidR="00ED2A4E" w:rsidRPr="00F4777F" w:rsidRDefault="00ED2A4E">
            <w:pPr>
              <w:widowControl w:val="0"/>
              <w:rPr>
                <w:rFonts w:ascii="Palatino Linotype" w:eastAsia="Times New Roman" w:hAnsi="Palatino Linotype" w:cs="Times New Roman"/>
                <w:sz w:val="24"/>
                <w:szCs w:val="24"/>
                <w:lang w:val="en-US"/>
              </w:rPr>
            </w:pPr>
          </w:p>
        </w:tc>
        <w:tc>
          <w:tcPr>
            <w:tcW w:w="1740" w:type="dxa"/>
            <w:shd w:val="clear" w:color="auto" w:fill="F3F3F3"/>
            <w:tcMar>
              <w:top w:w="100" w:type="dxa"/>
              <w:left w:w="100" w:type="dxa"/>
              <w:bottom w:w="100" w:type="dxa"/>
              <w:right w:w="100" w:type="dxa"/>
            </w:tcMar>
          </w:tcPr>
          <w:p w14:paraId="0030270E" w14:textId="77777777" w:rsidR="00ED2A4E" w:rsidRPr="00F4777F" w:rsidRDefault="00320289">
            <w:pPr>
              <w:spacing w:after="160" w:line="259" w:lineRule="auto"/>
              <w:jc w:val="center"/>
              <w:rPr>
                <w:rFonts w:ascii="Palatino Linotype" w:eastAsia="Times New Roman" w:hAnsi="Palatino Linotype" w:cs="Times New Roman"/>
                <w:sz w:val="20"/>
                <w:szCs w:val="20"/>
              </w:rPr>
            </w:pPr>
            <w:r w:rsidRPr="00F4777F">
              <w:rPr>
                <w:rFonts w:ascii="Palatino Linotype" w:eastAsia="Times New Roman" w:hAnsi="Palatino Linotype" w:cs="Times New Roman"/>
                <w:sz w:val="20"/>
                <w:szCs w:val="20"/>
              </w:rPr>
              <w:t>KPS</w:t>
            </w:r>
          </w:p>
        </w:tc>
        <w:tc>
          <w:tcPr>
            <w:tcW w:w="6180" w:type="dxa"/>
            <w:shd w:val="clear" w:color="auto" w:fill="F3F3F3"/>
            <w:tcMar>
              <w:top w:w="100" w:type="dxa"/>
              <w:left w:w="100" w:type="dxa"/>
              <w:bottom w:w="100" w:type="dxa"/>
              <w:right w:w="100" w:type="dxa"/>
            </w:tcMar>
          </w:tcPr>
          <w:p w14:paraId="525702E0" w14:textId="47C2C566" w:rsidR="00ED2A4E" w:rsidRPr="00F4777F" w:rsidRDefault="00320289">
            <w:pPr>
              <w:spacing w:after="160" w:line="259" w:lineRule="auto"/>
              <w:jc w:val="center"/>
              <w:rPr>
                <w:rFonts w:ascii="Palatino Linotype" w:eastAsia="Times New Roman" w:hAnsi="Palatino Linotype" w:cs="Times New Roman"/>
                <w:sz w:val="20"/>
                <w:szCs w:val="20"/>
                <w:lang w:val="en-US"/>
              </w:rPr>
            </w:pPr>
            <w:r w:rsidRPr="00F4777F">
              <w:rPr>
                <w:rFonts w:ascii="Palatino Linotype" w:eastAsia="Times New Roman" w:hAnsi="Palatino Linotype" w:cs="Times New Roman"/>
                <w:sz w:val="20"/>
                <w:szCs w:val="20"/>
                <w:lang w:val="en-US"/>
              </w:rPr>
              <w:t>Penicillin-Streptomycin (100 µg/mL) + Kanamycin (100 µg/mL)</w:t>
            </w:r>
            <w:r w:rsidR="00B4354A">
              <w:rPr>
                <w:rFonts w:ascii="Palatino Linotype" w:eastAsia="Times New Roman" w:hAnsi="Palatino Linotype" w:cs="Times New Roman"/>
                <w:sz w:val="20"/>
                <w:szCs w:val="20"/>
                <w:vertAlign w:val="superscript"/>
                <w:lang w:val="en-US"/>
              </w:rPr>
              <w:t xml:space="preserve"> a</w:t>
            </w:r>
          </w:p>
        </w:tc>
      </w:tr>
      <w:tr w:rsidR="00ED2A4E" w:rsidRPr="00CC6A6E" w14:paraId="771A831E" w14:textId="77777777">
        <w:trPr>
          <w:trHeight w:val="415"/>
          <w:jc w:val="center"/>
        </w:trPr>
        <w:tc>
          <w:tcPr>
            <w:tcW w:w="1529" w:type="dxa"/>
            <w:vMerge/>
            <w:shd w:val="clear" w:color="auto" w:fill="999999"/>
            <w:tcMar>
              <w:top w:w="100" w:type="dxa"/>
              <w:left w:w="100" w:type="dxa"/>
              <w:bottom w:w="100" w:type="dxa"/>
              <w:right w:w="100" w:type="dxa"/>
            </w:tcMar>
          </w:tcPr>
          <w:p w14:paraId="40DAC0D0" w14:textId="77777777" w:rsidR="00ED2A4E" w:rsidRPr="00F4777F" w:rsidRDefault="00ED2A4E">
            <w:pPr>
              <w:widowControl w:val="0"/>
              <w:rPr>
                <w:rFonts w:ascii="Palatino Linotype" w:eastAsia="Times New Roman" w:hAnsi="Palatino Linotype" w:cs="Times New Roman"/>
                <w:sz w:val="24"/>
                <w:szCs w:val="24"/>
                <w:lang w:val="en-US"/>
              </w:rPr>
            </w:pPr>
          </w:p>
        </w:tc>
        <w:tc>
          <w:tcPr>
            <w:tcW w:w="1740" w:type="dxa"/>
            <w:shd w:val="clear" w:color="auto" w:fill="F3F3F3"/>
            <w:tcMar>
              <w:top w:w="100" w:type="dxa"/>
              <w:left w:w="100" w:type="dxa"/>
              <w:bottom w:w="100" w:type="dxa"/>
              <w:right w:w="100" w:type="dxa"/>
            </w:tcMar>
          </w:tcPr>
          <w:p w14:paraId="2323C734" w14:textId="77777777" w:rsidR="00ED2A4E" w:rsidRPr="00F4777F" w:rsidRDefault="00320289">
            <w:pPr>
              <w:spacing w:after="160" w:line="259" w:lineRule="auto"/>
              <w:jc w:val="center"/>
              <w:rPr>
                <w:rFonts w:ascii="Palatino Linotype" w:eastAsia="Times New Roman" w:hAnsi="Palatino Linotype" w:cs="Times New Roman"/>
                <w:sz w:val="20"/>
                <w:szCs w:val="20"/>
              </w:rPr>
            </w:pPr>
            <w:r w:rsidRPr="00F4777F">
              <w:rPr>
                <w:rFonts w:ascii="Palatino Linotype" w:eastAsia="Times New Roman" w:hAnsi="Palatino Linotype" w:cs="Times New Roman"/>
                <w:sz w:val="20"/>
                <w:szCs w:val="20"/>
              </w:rPr>
              <w:t>VPS</w:t>
            </w:r>
          </w:p>
        </w:tc>
        <w:tc>
          <w:tcPr>
            <w:tcW w:w="6180" w:type="dxa"/>
            <w:shd w:val="clear" w:color="auto" w:fill="F3F3F3"/>
            <w:tcMar>
              <w:top w:w="100" w:type="dxa"/>
              <w:left w:w="100" w:type="dxa"/>
              <w:bottom w:w="100" w:type="dxa"/>
              <w:right w:w="100" w:type="dxa"/>
            </w:tcMar>
          </w:tcPr>
          <w:p w14:paraId="2E9DCEFD" w14:textId="75D1C816" w:rsidR="00ED2A4E" w:rsidRPr="00B4354A" w:rsidRDefault="00320289">
            <w:pPr>
              <w:spacing w:after="160" w:line="259" w:lineRule="auto"/>
              <w:jc w:val="center"/>
              <w:rPr>
                <w:rFonts w:ascii="Palatino Linotype" w:eastAsia="Times New Roman" w:hAnsi="Palatino Linotype" w:cs="Times New Roman"/>
                <w:sz w:val="20"/>
                <w:szCs w:val="20"/>
                <w:vertAlign w:val="superscript"/>
                <w:lang w:val="en-US"/>
              </w:rPr>
            </w:pPr>
            <w:r w:rsidRPr="00F4777F">
              <w:rPr>
                <w:rFonts w:ascii="Palatino Linotype" w:eastAsia="Times New Roman" w:hAnsi="Palatino Linotype" w:cs="Times New Roman"/>
                <w:sz w:val="20"/>
                <w:szCs w:val="20"/>
                <w:lang w:val="en-US"/>
              </w:rPr>
              <w:t>Penicillin-Streptomycin (100 µg/mL) + Vancomycin (5 µg/mL)</w:t>
            </w:r>
            <w:r w:rsidR="00B4354A">
              <w:rPr>
                <w:rFonts w:ascii="Palatino Linotype" w:eastAsia="Times New Roman" w:hAnsi="Palatino Linotype" w:cs="Times New Roman"/>
                <w:sz w:val="20"/>
                <w:szCs w:val="20"/>
                <w:lang w:val="en-US"/>
              </w:rPr>
              <w:t xml:space="preserve"> </w:t>
            </w:r>
            <w:r w:rsidR="00B4354A">
              <w:rPr>
                <w:rFonts w:ascii="Palatino Linotype" w:eastAsia="Times New Roman" w:hAnsi="Palatino Linotype" w:cs="Times New Roman"/>
                <w:sz w:val="20"/>
                <w:szCs w:val="20"/>
                <w:vertAlign w:val="superscript"/>
                <w:lang w:val="en-US"/>
              </w:rPr>
              <w:t>a</w:t>
            </w:r>
          </w:p>
        </w:tc>
      </w:tr>
      <w:tr w:rsidR="00ED2A4E" w:rsidRPr="00CC6A6E" w14:paraId="572A0303" w14:textId="77777777">
        <w:trPr>
          <w:trHeight w:val="415"/>
          <w:jc w:val="center"/>
        </w:trPr>
        <w:tc>
          <w:tcPr>
            <w:tcW w:w="1529" w:type="dxa"/>
            <w:shd w:val="clear" w:color="auto" w:fill="999999"/>
            <w:tcMar>
              <w:top w:w="100" w:type="dxa"/>
              <w:left w:w="100" w:type="dxa"/>
              <w:bottom w:w="100" w:type="dxa"/>
              <w:right w:w="100" w:type="dxa"/>
            </w:tcMar>
          </w:tcPr>
          <w:p w14:paraId="4F25137A" w14:textId="77777777" w:rsidR="00ED2A4E" w:rsidRPr="00F4777F" w:rsidRDefault="00320289">
            <w:pPr>
              <w:widowControl w:val="0"/>
              <w:spacing w:line="240" w:lineRule="auto"/>
              <w:jc w:val="center"/>
              <w:rPr>
                <w:rFonts w:ascii="Palatino Linotype" w:eastAsia="Times New Roman" w:hAnsi="Palatino Linotype" w:cs="Times New Roman"/>
                <w:sz w:val="20"/>
                <w:szCs w:val="20"/>
              </w:rPr>
            </w:pPr>
            <w:r w:rsidRPr="00F4777F">
              <w:rPr>
                <w:rFonts w:ascii="Palatino Linotype" w:eastAsia="Times New Roman" w:hAnsi="Palatino Linotype" w:cs="Times New Roman"/>
                <w:sz w:val="20"/>
                <w:szCs w:val="20"/>
              </w:rPr>
              <w:t xml:space="preserve">Control </w:t>
            </w:r>
            <w:proofErr w:type="spellStart"/>
            <w:r w:rsidRPr="00F4777F">
              <w:rPr>
                <w:rFonts w:ascii="Palatino Linotype" w:eastAsia="Times New Roman" w:hAnsi="Palatino Linotype" w:cs="Times New Roman"/>
                <w:sz w:val="20"/>
                <w:szCs w:val="20"/>
              </w:rPr>
              <w:t>group</w:t>
            </w:r>
            <w:proofErr w:type="spellEnd"/>
          </w:p>
        </w:tc>
        <w:tc>
          <w:tcPr>
            <w:tcW w:w="1740" w:type="dxa"/>
            <w:shd w:val="clear" w:color="auto" w:fill="F3F3F3"/>
            <w:tcMar>
              <w:top w:w="100" w:type="dxa"/>
              <w:left w:w="100" w:type="dxa"/>
              <w:bottom w:w="100" w:type="dxa"/>
              <w:right w:w="100" w:type="dxa"/>
            </w:tcMar>
          </w:tcPr>
          <w:p w14:paraId="5C6919A4" w14:textId="77777777" w:rsidR="00ED2A4E" w:rsidRPr="00F4777F" w:rsidRDefault="00320289">
            <w:pPr>
              <w:widowControl w:val="0"/>
              <w:spacing w:line="240" w:lineRule="auto"/>
              <w:jc w:val="center"/>
              <w:rPr>
                <w:rFonts w:ascii="Palatino Linotype" w:eastAsia="Times New Roman" w:hAnsi="Palatino Linotype" w:cs="Times New Roman"/>
                <w:sz w:val="20"/>
                <w:szCs w:val="20"/>
              </w:rPr>
            </w:pPr>
            <w:r w:rsidRPr="00F4777F">
              <w:rPr>
                <w:rFonts w:ascii="Palatino Linotype" w:eastAsia="Times New Roman" w:hAnsi="Palatino Linotype" w:cs="Times New Roman"/>
                <w:sz w:val="20"/>
                <w:szCs w:val="20"/>
              </w:rPr>
              <w:t>SW</w:t>
            </w:r>
          </w:p>
        </w:tc>
        <w:tc>
          <w:tcPr>
            <w:tcW w:w="6180" w:type="dxa"/>
            <w:shd w:val="clear" w:color="auto" w:fill="F3F3F3"/>
            <w:tcMar>
              <w:top w:w="100" w:type="dxa"/>
              <w:left w:w="100" w:type="dxa"/>
              <w:bottom w:w="100" w:type="dxa"/>
              <w:right w:w="100" w:type="dxa"/>
            </w:tcMar>
          </w:tcPr>
          <w:p w14:paraId="47099F1D" w14:textId="4C06D9CB" w:rsidR="00ED2A4E" w:rsidRPr="00F4777F" w:rsidRDefault="00320289">
            <w:pPr>
              <w:widowControl w:val="0"/>
              <w:spacing w:line="240" w:lineRule="auto"/>
              <w:jc w:val="center"/>
              <w:rPr>
                <w:rFonts w:ascii="Palatino Linotype" w:eastAsia="Times New Roman" w:hAnsi="Palatino Linotype" w:cs="Times New Roman"/>
                <w:sz w:val="20"/>
                <w:szCs w:val="20"/>
                <w:lang w:val="en-US"/>
              </w:rPr>
            </w:pPr>
            <w:r w:rsidRPr="00F4777F">
              <w:rPr>
                <w:rFonts w:ascii="Palatino Linotype" w:eastAsia="Times New Roman" w:hAnsi="Palatino Linotype" w:cs="Times New Roman"/>
                <w:sz w:val="20"/>
                <w:szCs w:val="20"/>
                <w:lang w:val="en-US"/>
              </w:rPr>
              <w:t xml:space="preserve">No </w:t>
            </w:r>
            <w:r w:rsidR="00B4354A">
              <w:rPr>
                <w:rFonts w:ascii="Palatino Linotype" w:eastAsia="Times New Roman" w:hAnsi="Palatino Linotype" w:cs="Times New Roman"/>
                <w:sz w:val="20"/>
                <w:szCs w:val="20"/>
                <w:lang w:val="en-US"/>
              </w:rPr>
              <w:t>d</w:t>
            </w:r>
            <w:r w:rsidRPr="00F4777F">
              <w:rPr>
                <w:rFonts w:ascii="Palatino Linotype" w:eastAsia="Times New Roman" w:hAnsi="Palatino Linotype" w:cs="Times New Roman"/>
                <w:sz w:val="20"/>
                <w:szCs w:val="20"/>
                <w:lang w:val="en-US"/>
              </w:rPr>
              <w:t xml:space="preserve">rug </w:t>
            </w:r>
            <w:r w:rsidR="00B4354A">
              <w:rPr>
                <w:rFonts w:ascii="Palatino Linotype" w:eastAsia="Times New Roman" w:hAnsi="Palatino Linotype" w:cs="Times New Roman"/>
                <w:sz w:val="20"/>
                <w:szCs w:val="20"/>
                <w:lang w:val="en-US"/>
              </w:rPr>
              <w:t>a</w:t>
            </w:r>
            <w:r w:rsidRPr="00F4777F">
              <w:rPr>
                <w:rFonts w:ascii="Palatino Linotype" w:eastAsia="Times New Roman" w:hAnsi="Palatino Linotype" w:cs="Times New Roman"/>
                <w:sz w:val="20"/>
                <w:szCs w:val="20"/>
                <w:lang w:val="en-US"/>
              </w:rPr>
              <w:t xml:space="preserve">dded to </w:t>
            </w:r>
            <w:r w:rsidR="00B4354A">
              <w:rPr>
                <w:rFonts w:ascii="Palatino Linotype" w:eastAsia="Times New Roman" w:hAnsi="Palatino Linotype" w:cs="Times New Roman"/>
                <w:sz w:val="20"/>
                <w:szCs w:val="20"/>
                <w:lang w:val="en-US"/>
              </w:rPr>
              <w:t>f</w:t>
            </w:r>
            <w:r w:rsidRPr="00F4777F">
              <w:rPr>
                <w:rFonts w:ascii="Palatino Linotype" w:eastAsia="Times New Roman" w:hAnsi="Palatino Linotype" w:cs="Times New Roman"/>
                <w:sz w:val="20"/>
                <w:szCs w:val="20"/>
                <w:lang w:val="en-US"/>
              </w:rPr>
              <w:t xml:space="preserve">iltered </w:t>
            </w:r>
            <w:r w:rsidR="00B4354A">
              <w:rPr>
                <w:rFonts w:ascii="Palatino Linotype" w:eastAsia="Times New Roman" w:hAnsi="Palatino Linotype" w:cs="Times New Roman"/>
                <w:sz w:val="20"/>
                <w:szCs w:val="20"/>
                <w:lang w:val="en-US"/>
              </w:rPr>
              <w:t>s</w:t>
            </w:r>
            <w:r w:rsidRPr="00F4777F">
              <w:rPr>
                <w:rFonts w:ascii="Palatino Linotype" w:eastAsia="Times New Roman" w:hAnsi="Palatino Linotype" w:cs="Times New Roman"/>
                <w:sz w:val="20"/>
                <w:szCs w:val="20"/>
                <w:lang w:val="en-US"/>
              </w:rPr>
              <w:t>ea</w:t>
            </w:r>
            <w:r w:rsidR="00B4354A">
              <w:rPr>
                <w:rFonts w:ascii="Palatino Linotype" w:eastAsia="Times New Roman" w:hAnsi="Palatino Linotype" w:cs="Times New Roman"/>
                <w:sz w:val="20"/>
                <w:szCs w:val="20"/>
                <w:lang w:val="en-US"/>
              </w:rPr>
              <w:t>w</w:t>
            </w:r>
            <w:r w:rsidRPr="00F4777F">
              <w:rPr>
                <w:rFonts w:ascii="Palatino Linotype" w:eastAsia="Times New Roman" w:hAnsi="Palatino Linotype" w:cs="Times New Roman"/>
                <w:sz w:val="20"/>
                <w:szCs w:val="20"/>
                <w:lang w:val="en-US"/>
              </w:rPr>
              <w:t>ater</w:t>
            </w:r>
            <w:r w:rsidR="00B4354A">
              <w:rPr>
                <w:rFonts w:ascii="Palatino Linotype" w:eastAsia="Times New Roman" w:hAnsi="Palatino Linotype" w:cs="Times New Roman"/>
                <w:sz w:val="20"/>
                <w:szCs w:val="20"/>
                <w:lang w:val="en-US"/>
              </w:rPr>
              <w:t xml:space="preserve"> (FSW)</w:t>
            </w:r>
          </w:p>
        </w:tc>
      </w:tr>
    </w:tbl>
    <w:p w14:paraId="01C25E03" w14:textId="415D96D6" w:rsidR="00ED2A4E" w:rsidRPr="00B4354A" w:rsidRDefault="00B4354A">
      <w:pPr>
        <w:spacing w:line="360" w:lineRule="auto"/>
        <w:jc w:val="both"/>
        <w:rPr>
          <w:rFonts w:ascii="Palatino Linotype" w:eastAsia="Times New Roman" w:hAnsi="Palatino Linotype" w:cs="Times New Roman"/>
          <w:bCs/>
          <w:sz w:val="18"/>
          <w:szCs w:val="18"/>
          <w:lang w:val="en-US"/>
        </w:rPr>
      </w:pPr>
      <w:proofErr w:type="spellStart"/>
      <w:r w:rsidRPr="00B4354A">
        <w:rPr>
          <w:rFonts w:ascii="Palatino Linotype" w:eastAsia="Times New Roman" w:hAnsi="Palatino Linotype" w:cs="Times New Roman"/>
          <w:bCs/>
          <w:sz w:val="18"/>
          <w:szCs w:val="18"/>
          <w:vertAlign w:val="superscript"/>
          <w:lang w:val="en-US"/>
        </w:rPr>
        <w:t>a</w:t>
      </w:r>
      <w:r w:rsidRPr="00B4354A">
        <w:rPr>
          <w:rFonts w:ascii="Palatino Linotype" w:eastAsia="Times New Roman" w:hAnsi="Palatino Linotype" w:cs="Times New Roman"/>
          <w:bCs/>
          <w:sz w:val="18"/>
          <w:szCs w:val="18"/>
          <w:lang w:val="en-US"/>
        </w:rPr>
        <w:t>Drug</w:t>
      </w:r>
      <w:proofErr w:type="spellEnd"/>
      <w:r w:rsidRPr="00B4354A">
        <w:rPr>
          <w:rFonts w:ascii="Palatino Linotype" w:eastAsia="Times New Roman" w:hAnsi="Palatino Linotype" w:cs="Times New Roman"/>
          <w:bCs/>
          <w:sz w:val="18"/>
          <w:szCs w:val="18"/>
          <w:lang w:val="en-US"/>
        </w:rPr>
        <w:t xml:space="preserve"> stocks were added to each aquarium (containing 1L of filtered seawater) for the final concentration specified in this table.</w:t>
      </w:r>
    </w:p>
    <w:p w14:paraId="189D5D5A"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68130B61"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3DA8763C"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02CCA827"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005B972B"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54C30C89"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59C4D248"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6EC40106"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70684075"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6A7DBD51"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74D4AD28"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1E03C47B"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11955A5C"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29B82D53" w14:textId="77777777" w:rsidR="00ED2A4E" w:rsidRPr="00F4777F" w:rsidRDefault="00ED2A4E">
      <w:pPr>
        <w:spacing w:line="360" w:lineRule="auto"/>
        <w:jc w:val="both"/>
        <w:rPr>
          <w:rFonts w:ascii="Palatino Linotype" w:eastAsia="Times New Roman" w:hAnsi="Palatino Linotype" w:cs="Times New Roman"/>
          <w:b/>
          <w:sz w:val="24"/>
          <w:szCs w:val="24"/>
          <w:lang w:val="en-US"/>
        </w:rPr>
      </w:pPr>
    </w:p>
    <w:p w14:paraId="35B941D6" w14:textId="1E3C4D03" w:rsidR="00ED2A4E" w:rsidRPr="00A550FD" w:rsidRDefault="00ED2A4E" w:rsidP="00B4354A">
      <w:pPr>
        <w:spacing w:line="259" w:lineRule="auto"/>
        <w:rPr>
          <w:rFonts w:ascii="Palatino Linotype" w:eastAsia="Times New Roman" w:hAnsi="Palatino Linotype" w:cs="Times New Roman"/>
          <w:b/>
          <w:sz w:val="24"/>
          <w:szCs w:val="24"/>
          <w:lang w:val="en-US"/>
        </w:rPr>
      </w:pPr>
    </w:p>
    <w:p w14:paraId="1F1F77BA" w14:textId="479127D6" w:rsidR="00ED2A4E" w:rsidRPr="00F4777F" w:rsidRDefault="00A550FD">
      <w:pPr>
        <w:spacing w:line="259" w:lineRule="auto"/>
        <w:jc w:val="center"/>
        <w:rPr>
          <w:rFonts w:ascii="Palatino Linotype" w:eastAsia="Times New Roman" w:hAnsi="Palatino Linotype" w:cs="Times New Roman"/>
          <w:b/>
          <w:sz w:val="24"/>
          <w:szCs w:val="24"/>
        </w:rPr>
      </w:pPr>
      <w:r>
        <w:rPr>
          <w:noProof/>
        </w:rPr>
        <w:lastRenderedPageBreak/>
        <w:drawing>
          <wp:inline distT="0" distB="0" distL="0" distR="0" wp14:anchorId="03D458A2" wp14:editId="5955969D">
            <wp:extent cx="4839286" cy="4126884"/>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16196" r="17802"/>
                    <a:stretch/>
                  </pic:blipFill>
                  <pic:spPr bwMode="auto">
                    <a:xfrm>
                      <a:off x="0" y="0"/>
                      <a:ext cx="4847707" cy="4134065"/>
                    </a:xfrm>
                    <a:prstGeom prst="rect">
                      <a:avLst/>
                    </a:prstGeom>
                    <a:noFill/>
                    <a:ln>
                      <a:noFill/>
                    </a:ln>
                    <a:extLst>
                      <a:ext uri="{53640926-AAD7-44D8-BBD7-CCE9431645EC}">
                        <a14:shadowObscured xmlns:a14="http://schemas.microsoft.com/office/drawing/2010/main"/>
                      </a:ext>
                    </a:extLst>
                  </pic:spPr>
                </pic:pic>
              </a:graphicData>
            </a:graphic>
          </wp:inline>
        </w:drawing>
      </w:r>
    </w:p>
    <w:p w14:paraId="1540E1E8" w14:textId="4B66A906" w:rsidR="00ED2A4E" w:rsidRPr="00F4777F" w:rsidRDefault="00320289">
      <w:pPr>
        <w:spacing w:line="259" w:lineRule="auto"/>
        <w:jc w:val="both"/>
        <w:rPr>
          <w:rFonts w:ascii="Palatino Linotype" w:eastAsia="Times New Roman" w:hAnsi="Palatino Linotype" w:cs="Times New Roman"/>
          <w:sz w:val="18"/>
          <w:szCs w:val="18"/>
          <w:lang w:val="en-US"/>
        </w:rPr>
      </w:pPr>
      <w:r w:rsidRPr="00F4777F">
        <w:rPr>
          <w:rFonts w:ascii="Palatino Linotype" w:eastAsia="Times New Roman" w:hAnsi="Palatino Linotype" w:cs="Times New Roman"/>
          <w:b/>
          <w:sz w:val="18"/>
          <w:szCs w:val="18"/>
          <w:lang w:val="en-US"/>
        </w:rPr>
        <w:t>Scheme S1:</w:t>
      </w:r>
      <w:r w:rsidRPr="00F4777F">
        <w:rPr>
          <w:rFonts w:ascii="Palatino Linotype" w:eastAsia="Times New Roman" w:hAnsi="Palatino Linotype" w:cs="Times New Roman"/>
          <w:sz w:val="18"/>
          <w:szCs w:val="18"/>
          <w:lang w:val="en-US"/>
        </w:rPr>
        <w:t xml:space="preserve"> Collagen and SLS classification system. These systems were used to quantify the presence of collagen (A) </w:t>
      </w:r>
      <w:r w:rsidR="00FA2C9F" w:rsidRPr="00F4777F">
        <w:rPr>
          <w:rFonts w:ascii="Palatino Linotype" w:eastAsia="Times New Roman" w:hAnsi="Palatino Linotype" w:cs="Times New Roman"/>
          <w:sz w:val="18"/>
          <w:szCs w:val="18"/>
          <w:lang w:val="en-US"/>
        </w:rPr>
        <w:t xml:space="preserve">and </w:t>
      </w:r>
      <w:r w:rsidRPr="00F4777F">
        <w:rPr>
          <w:rFonts w:ascii="Palatino Linotype" w:eastAsia="Times New Roman" w:hAnsi="Palatino Linotype" w:cs="Times New Roman"/>
          <w:sz w:val="18"/>
          <w:szCs w:val="18"/>
          <w:lang w:val="en-US"/>
        </w:rPr>
        <w:t xml:space="preserve">SLSs (B) in the rudiment and mesentery. Classification ranges from 0 to 5. A classification of 0 indicates a 90%-100% of the protein in the rudiment and mesentery. A classification of 0.5 indicates </w:t>
      </w:r>
      <w:r w:rsidR="00FA2C9F" w:rsidRPr="00F4777F">
        <w:rPr>
          <w:rFonts w:ascii="Palatino Linotype" w:eastAsia="Times New Roman" w:hAnsi="Palatino Linotype" w:cs="Times New Roman"/>
          <w:sz w:val="18"/>
          <w:szCs w:val="18"/>
          <w:lang w:val="en-US"/>
        </w:rPr>
        <w:t>25</w:t>
      </w:r>
      <w:r w:rsidRPr="00F4777F">
        <w:rPr>
          <w:rFonts w:ascii="Palatino Linotype" w:eastAsia="Times New Roman" w:hAnsi="Palatino Linotype" w:cs="Times New Roman"/>
          <w:sz w:val="18"/>
          <w:szCs w:val="18"/>
          <w:lang w:val="en-US"/>
        </w:rPr>
        <w:t>% of the protein</w:t>
      </w:r>
      <w:r w:rsidR="00FA2C9F" w:rsidRPr="00F4777F">
        <w:rPr>
          <w:rFonts w:ascii="Palatino Linotype" w:eastAsia="Times New Roman" w:hAnsi="Palatino Linotype" w:cs="Times New Roman"/>
          <w:sz w:val="18"/>
          <w:szCs w:val="18"/>
          <w:lang w:val="en-US"/>
        </w:rPr>
        <w:t>,</w:t>
      </w:r>
      <w:r w:rsidRPr="00F4777F">
        <w:rPr>
          <w:rFonts w:ascii="Palatino Linotype" w:eastAsia="Times New Roman" w:hAnsi="Palatino Linotype" w:cs="Times New Roman"/>
          <w:sz w:val="18"/>
          <w:szCs w:val="18"/>
          <w:lang w:val="en-US"/>
        </w:rPr>
        <w:t xml:space="preserve"> and a classification of 1 indicate</w:t>
      </w:r>
      <w:r w:rsidR="00FA2C9F" w:rsidRPr="00F4777F">
        <w:rPr>
          <w:rFonts w:ascii="Palatino Linotype" w:eastAsia="Times New Roman" w:hAnsi="Palatino Linotype" w:cs="Times New Roman"/>
          <w:sz w:val="18"/>
          <w:szCs w:val="18"/>
          <w:lang w:val="en-US"/>
        </w:rPr>
        <w:t xml:space="preserve"> </w:t>
      </w:r>
      <w:r w:rsidRPr="00F4777F">
        <w:rPr>
          <w:rFonts w:ascii="Palatino Linotype" w:eastAsia="Times New Roman" w:hAnsi="Palatino Linotype" w:cs="Times New Roman"/>
          <w:sz w:val="18"/>
          <w:szCs w:val="18"/>
          <w:lang w:val="en-US"/>
        </w:rPr>
        <w:t xml:space="preserve">approximately </w:t>
      </w:r>
      <w:r w:rsidR="00FA2C9F" w:rsidRPr="00F4777F">
        <w:rPr>
          <w:rFonts w:ascii="Palatino Linotype" w:eastAsia="Times New Roman" w:hAnsi="Palatino Linotype" w:cs="Times New Roman"/>
          <w:sz w:val="18"/>
          <w:szCs w:val="18"/>
          <w:lang w:val="en-US"/>
        </w:rPr>
        <w:t>5</w:t>
      </w:r>
      <w:r w:rsidRPr="00F4777F">
        <w:rPr>
          <w:rFonts w:ascii="Palatino Linotype" w:eastAsia="Times New Roman" w:hAnsi="Palatino Linotype" w:cs="Times New Roman"/>
          <w:sz w:val="18"/>
          <w:szCs w:val="18"/>
          <w:lang w:val="en-US"/>
        </w:rPr>
        <w:t xml:space="preserve">0% </w:t>
      </w:r>
      <w:r w:rsidR="00FA2C9F" w:rsidRPr="00F4777F">
        <w:rPr>
          <w:rFonts w:ascii="Palatino Linotype" w:eastAsia="Times New Roman" w:hAnsi="Palatino Linotype" w:cs="Times New Roman"/>
          <w:sz w:val="18"/>
          <w:szCs w:val="18"/>
          <w:lang w:val="en-US"/>
        </w:rPr>
        <w:t>of collagen degradation in the rudiment,</w:t>
      </w:r>
      <w:r w:rsidRPr="00F4777F">
        <w:rPr>
          <w:rFonts w:ascii="Palatino Linotype" w:eastAsia="Times New Roman" w:hAnsi="Palatino Linotype" w:cs="Times New Roman"/>
          <w:sz w:val="18"/>
          <w:szCs w:val="18"/>
          <w:lang w:val="en-US"/>
        </w:rPr>
        <w:t xml:space="preserve"> respectively. </w:t>
      </w:r>
      <w:r w:rsidR="00B32A05">
        <w:rPr>
          <w:rFonts w:ascii="Palatino Linotype" w:eastAsia="Times New Roman" w:hAnsi="Palatino Linotype" w:cs="Times New Roman"/>
          <w:sz w:val="18"/>
          <w:szCs w:val="18"/>
          <w:lang w:val="en-US"/>
        </w:rPr>
        <w:t>Classification system B was previously described by</w:t>
      </w:r>
      <w:r w:rsidR="00B32A05" w:rsidRPr="00284AEB">
        <w:rPr>
          <w:rFonts w:ascii="Palatino Linotype" w:hAnsi="Palatino Linotype"/>
          <w:sz w:val="18"/>
          <w:szCs w:val="18"/>
          <w:lang w:val="en-US"/>
        </w:rPr>
        <w:t xml:space="preserve"> </w:t>
      </w:r>
      <w:proofErr w:type="spellStart"/>
      <w:r w:rsidR="00B32A05" w:rsidRPr="00284AEB">
        <w:rPr>
          <w:rFonts w:ascii="Palatino Linotype" w:hAnsi="Palatino Linotype"/>
          <w:sz w:val="18"/>
          <w:szCs w:val="18"/>
          <w:lang w:val="en-US"/>
        </w:rPr>
        <w:t>Pasten</w:t>
      </w:r>
      <w:proofErr w:type="spellEnd"/>
      <w:r w:rsidR="00B32A05" w:rsidRPr="00284AEB">
        <w:rPr>
          <w:rFonts w:ascii="Palatino Linotype" w:hAnsi="Palatino Linotype"/>
          <w:sz w:val="18"/>
          <w:szCs w:val="18"/>
          <w:lang w:val="en-US"/>
        </w:rPr>
        <w:t>, et al., 2012 [</w:t>
      </w:r>
      <w:r w:rsidR="00EA52F0">
        <w:rPr>
          <w:rFonts w:ascii="Palatino Linotype" w:hAnsi="Palatino Linotype"/>
          <w:sz w:val="18"/>
          <w:szCs w:val="18"/>
          <w:lang w:val="en-US"/>
        </w:rPr>
        <w:t>7</w:t>
      </w:r>
      <w:r w:rsidR="00CC6A6E">
        <w:rPr>
          <w:rFonts w:ascii="Palatino Linotype" w:hAnsi="Palatino Linotype"/>
          <w:sz w:val="18"/>
          <w:szCs w:val="18"/>
          <w:lang w:val="en-US"/>
        </w:rPr>
        <w:t>5</w:t>
      </w:r>
      <w:r w:rsidR="00B32A05" w:rsidRPr="00284AEB">
        <w:rPr>
          <w:rFonts w:ascii="Palatino Linotype" w:hAnsi="Palatino Linotype"/>
          <w:sz w:val="18"/>
          <w:szCs w:val="18"/>
          <w:lang w:val="en-US"/>
        </w:rPr>
        <w:t>]</w:t>
      </w:r>
      <w:r w:rsidR="00B32A05">
        <w:rPr>
          <w:rFonts w:ascii="Palatino Linotype" w:hAnsi="Palatino Linotype"/>
          <w:sz w:val="18"/>
          <w:szCs w:val="18"/>
          <w:lang w:val="en-US"/>
        </w:rPr>
        <w:t xml:space="preserve">, with few modifications by </w:t>
      </w:r>
      <w:proofErr w:type="spellStart"/>
      <w:r w:rsidR="00B32A05">
        <w:rPr>
          <w:rFonts w:ascii="Palatino Linotype" w:hAnsi="Palatino Linotype"/>
          <w:sz w:val="18"/>
          <w:szCs w:val="18"/>
          <w:lang w:val="en-US"/>
        </w:rPr>
        <w:t>Griselle</w:t>
      </w:r>
      <w:proofErr w:type="spellEnd"/>
      <w:r w:rsidR="00B32A05">
        <w:rPr>
          <w:rFonts w:ascii="Palatino Linotype" w:hAnsi="Palatino Linotype"/>
          <w:sz w:val="18"/>
          <w:szCs w:val="18"/>
          <w:lang w:val="en-US"/>
        </w:rPr>
        <w:t xml:space="preserve"> Valent</w:t>
      </w:r>
      <w:r w:rsidR="00B32A05">
        <w:rPr>
          <w:rFonts w:ascii="Calibri" w:hAnsi="Calibri" w:cs="Calibri"/>
          <w:sz w:val="18"/>
          <w:szCs w:val="18"/>
          <w:lang w:val="en-US"/>
        </w:rPr>
        <w:t>í</w:t>
      </w:r>
      <w:r w:rsidR="00B32A05">
        <w:rPr>
          <w:rFonts w:ascii="Palatino Linotype" w:hAnsi="Palatino Linotype"/>
          <w:sz w:val="18"/>
          <w:szCs w:val="18"/>
          <w:lang w:val="en-US"/>
        </w:rPr>
        <w:t xml:space="preserve">n-Tirado. </w:t>
      </w:r>
      <w:r w:rsidR="00284AEB">
        <w:rPr>
          <w:rFonts w:ascii="Palatino Linotype" w:eastAsia="Times New Roman" w:hAnsi="Palatino Linotype" w:cs="Times New Roman"/>
          <w:sz w:val="18"/>
          <w:szCs w:val="18"/>
          <w:lang w:val="en-US"/>
        </w:rPr>
        <w:t>C</w:t>
      </w:r>
      <w:r w:rsidR="002F4F0E" w:rsidRPr="00F4777F">
        <w:rPr>
          <w:rFonts w:ascii="Palatino Linotype" w:eastAsia="Times New Roman" w:hAnsi="Palatino Linotype" w:cs="Times New Roman"/>
          <w:sz w:val="18"/>
          <w:szCs w:val="18"/>
          <w:lang w:val="en-US"/>
        </w:rPr>
        <w:t>lassification s</w:t>
      </w:r>
      <w:r w:rsidR="00B32A05">
        <w:rPr>
          <w:rFonts w:ascii="Palatino Linotype" w:eastAsia="Times New Roman" w:hAnsi="Palatino Linotype" w:cs="Times New Roman"/>
          <w:sz w:val="18"/>
          <w:szCs w:val="18"/>
          <w:lang w:val="en-US"/>
        </w:rPr>
        <w:t>ystem</w:t>
      </w:r>
      <w:r w:rsidRPr="00F4777F">
        <w:rPr>
          <w:rFonts w:ascii="Palatino Linotype" w:eastAsia="Times New Roman" w:hAnsi="Palatino Linotype" w:cs="Times New Roman"/>
          <w:sz w:val="18"/>
          <w:szCs w:val="18"/>
          <w:lang w:val="en-US"/>
        </w:rPr>
        <w:t xml:space="preserve"> </w:t>
      </w:r>
      <w:r w:rsidR="00284AEB">
        <w:rPr>
          <w:rFonts w:ascii="Palatino Linotype" w:eastAsia="Times New Roman" w:hAnsi="Palatino Linotype" w:cs="Times New Roman"/>
          <w:sz w:val="18"/>
          <w:szCs w:val="18"/>
          <w:lang w:val="en-US"/>
        </w:rPr>
        <w:t xml:space="preserve">A </w:t>
      </w:r>
      <w:r w:rsidR="007E574A" w:rsidRPr="00F4777F">
        <w:rPr>
          <w:rFonts w:ascii="Palatino Linotype" w:eastAsia="Times New Roman" w:hAnsi="Palatino Linotype" w:cs="Times New Roman"/>
          <w:sz w:val="18"/>
          <w:szCs w:val="18"/>
          <w:lang w:val="en-US"/>
        </w:rPr>
        <w:t xml:space="preserve">was </w:t>
      </w:r>
      <w:r w:rsidRPr="00F4777F">
        <w:rPr>
          <w:rFonts w:ascii="Palatino Linotype" w:eastAsia="Times New Roman" w:hAnsi="Palatino Linotype" w:cs="Times New Roman"/>
          <w:sz w:val="18"/>
          <w:szCs w:val="18"/>
          <w:lang w:val="en-US"/>
        </w:rPr>
        <w:t>developed by Rosa, R.</w:t>
      </w:r>
      <w:r w:rsidR="00FA2C9F" w:rsidRPr="00F4777F">
        <w:rPr>
          <w:rFonts w:ascii="Palatino Linotype" w:eastAsia="Times New Roman" w:hAnsi="Palatino Linotype" w:cs="Times New Roman"/>
          <w:sz w:val="18"/>
          <w:szCs w:val="18"/>
          <w:lang w:val="en-US"/>
        </w:rPr>
        <w:t xml:space="preserve"> based on the ECM remodeling process</w:t>
      </w:r>
      <w:r w:rsidR="007E574A" w:rsidRPr="00F4777F">
        <w:rPr>
          <w:rFonts w:ascii="Palatino Linotype" w:eastAsia="Times New Roman" w:hAnsi="Palatino Linotype" w:cs="Times New Roman"/>
          <w:sz w:val="18"/>
          <w:szCs w:val="18"/>
          <w:lang w:val="en-US"/>
        </w:rPr>
        <w:t xml:space="preserve"> </w:t>
      </w:r>
      <w:r w:rsidR="00FA2C9F" w:rsidRPr="00F4777F">
        <w:rPr>
          <w:rFonts w:ascii="Palatino Linotype" w:eastAsia="Times New Roman" w:hAnsi="Palatino Linotype" w:cs="Times New Roman"/>
          <w:sz w:val="18"/>
          <w:szCs w:val="18"/>
          <w:lang w:val="en-US"/>
        </w:rPr>
        <w:t xml:space="preserve">described by </w:t>
      </w:r>
      <w:proofErr w:type="spellStart"/>
      <w:r w:rsidR="00FA2C9F" w:rsidRPr="00F4777F">
        <w:rPr>
          <w:rFonts w:ascii="Palatino Linotype" w:eastAsia="Times New Roman" w:hAnsi="Palatino Linotype" w:cs="Times New Roman"/>
          <w:sz w:val="18"/>
          <w:szCs w:val="18"/>
          <w:lang w:val="en-US"/>
        </w:rPr>
        <w:t>Quinoñes</w:t>
      </w:r>
      <w:proofErr w:type="spellEnd"/>
      <w:r w:rsidR="007E574A" w:rsidRPr="00F4777F">
        <w:rPr>
          <w:rFonts w:ascii="Palatino Linotype" w:eastAsia="Times New Roman" w:hAnsi="Palatino Linotype" w:cs="Times New Roman"/>
          <w:sz w:val="18"/>
          <w:szCs w:val="18"/>
          <w:lang w:val="en-US"/>
        </w:rPr>
        <w:t>,</w:t>
      </w:r>
      <w:r w:rsidR="00FA2C9F" w:rsidRPr="00F4777F">
        <w:rPr>
          <w:rFonts w:ascii="Palatino Linotype" w:eastAsia="Times New Roman" w:hAnsi="Palatino Linotype" w:cs="Times New Roman"/>
          <w:sz w:val="18"/>
          <w:szCs w:val="18"/>
          <w:lang w:val="en-US"/>
        </w:rPr>
        <w:t xml:space="preserve"> et al</w:t>
      </w:r>
      <w:r w:rsidR="007E574A" w:rsidRPr="00F4777F">
        <w:rPr>
          <w:rFonts w:ascii="Palatino Linotype" w:eastAsia="Times New Roman" w:hAnsi="Palatino Linotype" w:cs="Times New Roman"/>
          <w:sz w:val="18"/>
          <w:szCs w:val="18"/>
          <w:lang w:val="en-US"/>
        </w:rPr>
        <w:t>.,</w:t>
      </w:r>
      <w:r w:rsidR="00FA2C9F" w:rsidRPr="00F4777F">
        <w:rPr>
          <w:rFonts w:ascii="Palatino Linotype" w:eastAsia="Times New Roman" w:hAnsi="Palatino Linotype" w:cs="Times New Roman"/>
          <w:sz w:val="18"/>
          <w:szCs w:val="18"/>
          <w:lang w:val="en-US"/>
        </w:rPr>
        <w:t xml:space="preserve"> 2002 [</w:t>
      </w:r>
      <w:r w:rsidR="002F4F0E" w:rsidRPr="00F4777F">
        <w:rPr>
          <w:rFonts w:ascii="Palatino Linotype" w:eastAsia="Times New Roman" w:hAnsi="Palatino Linotype" w:cs="Times New Roman"/>
          <w:sz w:val="18"/>
          <w:szCs w:val="18"/>
          <w:lang w:val="en-US"/>
        </w:rPr>
        <w:t>7</w:t>
      </w:r>
      <w:r w:rsidR="00CC6A6E">
        <w:rPr>
          <w:rFonts w:ascii="Palatino Linotype" w:eastAsia="Times New Roman" w:hAnsi="Palatino Linotype" w:cs="Times New Roman"/>
          <w:sz w:val="18"/>
          <w:szCs w:val="18"/>
          <w:lang w:val="en-US"/>
        </w:rPr>
        <w:t>1</w:t>
      </w:r>
      <w:r w:rsidR="00FA2C9F" w:rsidRPr="00F4777F">
        <w:rPr>
          <w:rFonts w:ascii="Palatino Linotype" w:eastAsia="Times New Roman" w:hAnsi="Palatino Linotype" w:cs="Times New Roman"/>
          <w:sz w:val="18"/>
          <w:szCs w:val="18"/>
          <w:lang w:val="en-US"/>
        </w:rPr>
        <w:t>]</w:t>
      </w:r>
      <w:r w:rsidR="00284AEB">
        <w:rPr>
          <w:rFonts w:ascii="Palatino Linotype" w:eastAsia="Times New Roman" w:hAnsi="Palatino Linotype" w:cs="Times New Roman"/>
          <w:sz w:val="18"/>
          <w:szCs w:val="18"/>
          <w:lang w:val="en-US"/>
        </w:rPr>
        <w:t xml:space="preserve">. </w:t>
      </w:r>
    </w:p>
    <w:p w14:paraId="752731C2" w14:textId="7403E04A" w:rsidR="00ED2A4E" w:rsidRPr="00F4777F" w:rsidRDefault="00ED2A4E">
      <w:pPr>
        <w:spacing w:after="160" w:line="259" w:lineRule="auto"/>
        <w:jc w:val="both"/>
        <w:rPr>
          <w:rFonts w:ascii="Palatino Linotype" w:eastAsia="Times New Roman" w:hAnsi="Palatino Linotype" w:cs="Times New Roman"/>
          <w:i/>
          <w:sz w:val="20"/>
          <w:szCs w:val="20"/>
          <w:lang w:val="en-US"/>
        </w:rPr>
      </w:pPr>
    </w:p>
    <w:p w14:paraId="7BACCD51" w14:textId="0BD39ADE" w:rsidR="00ED2A4E" w:rsidRDefault="00ED2A4E">
      <w:pPr>
        <w:spacing w:after="160" w:line="259" w:lineRule="auto"/>
        <w:jc w:val="both"/>
        <w:rPr>
          <w:rFonts w:ascii="Palatino Linotype" w:eastAsia="Times New Roman" w:hAnsi="Palatino Linotype" w:cs="Times New Roman"/>
          <w:i/>
          <w:sz w:val="20"/>
          <w:szCs w:val="20"/>
          <w:lang w:val="en-US"/>
        </w:rPr>
      </w:pPr>
    </w:p>
    <w:p w14:paraId="036C6298" w14:textId="0E944117" w:rsidR="00C76C1E" w:rsidRDefault="00C76C1E">
      <w:pPr>
        <w:spacing w:after="160" w:line="259" w:lineRule="auto"/>
        <w:jc w:val="both"/>
        <w:rPr>
          <w:rFonts w:ascii="Palatino Linotype" w:eastAsia="Times New Roman" w:hAnsi="Palatino Linotype" w:cs="Times New Roman"/>
          <w:i/>
          <w:sz w:val="20"/>
          <w:szCs w:val="20"/>
          <w:lang w:val="en-US"/>
        </w:rPr>
      </w:pPr>
    </w:p>
    <w:p w14:paraId="6891BD6F" w14:textId="6061DA27" w:rsidR="00C76C1E" w:rsidRDefault="00C76C1E">
      <w:pPr>
        <w:spacing w:after="160" w:line="259" w:lineRule="auto"/>
        <w:jc w:val="both"/>
        <w:rPr>
          <w:rFonts w:ascii="Palatino Linotype" w:eastAsia="Times New Roman" w:hAnsi="Palatino Linotype" w:cs="Times New Roman"/>
          <w:i/>
          <w:sz w:val="20"/>
          <w:szCs w:val="20"/>
          <w:lang w:val="en-US"/>
        </w:rPr>
      </w:pPr>
    </w:p>
    <w:p w14:paraId="0F3AFEFD" w14:textId="5F32BA17" w:rsidR="00C76C1E" w:rsidRDefault="00C76C1E">
      <w:pPr>
        <w:spacing w:after="160" w:line="259" w:lineRule="auto"/>
        <w:jc w:val="both"/>
        <w:rPr>
          <w:rFonts w:ascii="Palatino Linotype" w:eastAsia="Times New Roman" w:hAnsi="Palatino Linotype" w:cs="Times New Roman"/>
          <w:i/>
          <w:sz w:val="20"/>
          <w:szCs w:val="20"/>
          <w:lang w:val="en-US"/>
        </w:rPr>
      </w:pPr>
    </w:p>
    <w:p w14:paraId="75B47DBB" w14:textId="281BAD0F" w:rsidR="00ED2A4E" w:rsidRPr="00636F7D" w:rsidRDefault="00C73B7D" w:rsidP="00636F7D">
      <w:pPr>
        <w:spacing w:after="160" w:line="259" w:lineRule="auto"/>
        <w:jc w:val="both"/>
        <w:rPr>
          <w:rFonts w:ascii="Palatino Linotype" w:eastAsia="Times New Roman" w:hAnsi="Palatino Linotype" w:cs="Times New Roman"/>
          <w:b/>
          <w:sz w:val="18"/>
          <w:szCs w:val="18"/>
          <w:lang w:val="en-US"/>
        </w:rPr>
      </w:pPr>
      <w:r w:rsidRPr="00591EA3">
        <w:rPr>
          <w:lang w:val="en-US"/>
        </w:rPr>
        <w:lastRenderedPageBreak/>
        <w:t xml:space="preserve"> </w:t>
      </w:r>
      <w:r>
        <w:rPr>
          <w:noProof/>
        </w:rPr>
        <w:drawing>
          <wp:inline distT="0" distB="0" distL="0" distR="0" wp14:anchorId="6AE31C3E" wp14:editId="4D500522">
            <wp:extent cx="5733415" cy="3225165"/>
            <wp:effectExtent l="0" t="0" r="63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3225165"/>
                    </a:xfrm>
                    <a:prstGeom prst="rect">
                      <a:avLst/>
                    </a:prstGeom>
                    <a:noFill/>
                    <a:ln>
                      <a:noFill/>
                    </a:ln>
                  </pic:spPr>
                </pic:pic>
              </a:graphicData>
            </a:graphic>
          </wp:inline>
        </w:drawing>
      </w:r>
      <w:r w:rsidR="00320289" w:rsidRPr="00F4777F">
        <w:rPr>
          <w:rFonts w:ascii="Palatino Linotype" w:eastAsia="Times New Roman" w:hAnsi="Palatino Linotype" w:cs="Times New Roman"/>
          <w:b/>
          <w:sz w:val="18"/>
          <w:szCs w:val="18"/>
          <w:lang w:val="en-US"/>
        </w:rPr>
        <w:t xml:space="preserve">Scheme S2: </w:t>
      </w:r>
      <w:r w:rsidR="00320289" w:rsidRPr="00F4777F">
        <w:rPr>
          <w:rFonts w:ascii="Palatino Linotype" w:eastAsia="Times New Roman" w:hAnsi="Palatino Linotype" w:cs="Times New Roman"/>
          <w:sz w:val="18"/>
          <w:szCs w:val="18"/>
          <w:lang w:val="en-US"/>
        </w:rPr>
        <w:t xml:space="preserve">Representation of measurements of rudiment and proliferating cell area delimitation. The blue line represents the area of the regenerated rudiment. </w:t>
      </w:r>
      <w:r w:rsidR="00381741">
        <w:rPr>
          <w:rFonts w:ascii="Palatino Linotype" w:eastAsia="Times New Roman" w:hAnsi="Palatino Linotype" w:cs="Times New Roman"/>
          <w:sz w:val="18"/>
          <w:szCs w:val="18"/>
          <w:lang w:val="en-US"/>
        </w:rPr>
        <w:t>The area delimited by the blue and red</w:t>
      </w:r>
      <w:r w:rsidR="00381741" w:rsidRPr="00F4777F">
        <w:rPr>
          <w:rFonts w:ascii="Palatino Linotype" w:eastAsia="Times New Roman" w:hAnsi="Palatino Linotype" w:cs="Times New Roman"/>
          <w:sz w:val="18"/>
          <w:szCs w:val="18"/>
          <w:lang w:val="en-US"/>
        </w:rPr>
        <w:t xml:space="preserve"> line</w:t>
      </w:r>
      <w:r w:rsidR="00381741">
        <w:rPr>
          <w:rFonts w:ascii="Palatino Linotype" w:eastAsia="Times New Roman" w:hAnsi="Palatino Linotype" w:cs="Times New Roman"/>
          <w:sz w:val="18"/>
          <w:szCs w:val="18"/>
          <w:lang w:val="en-US"/>
        </w:rPr>
        <w:t>s is the coelomic epithelium (</w:t>
      </w:r>
      <w:r w:rsidR="00381741" w:rsidRPr="00F4777F">
        <w:rPr>
          <w:rFonts w:ascii="Palatino Linotype" w:eastAsia="Times New Roman" w:hAnsi="Palatino Linotype" w:cs="Times New Roman"/>
          <w:sz w:val="18"/>
          <w:szCs w:val="18"/>
          <w:lang w:val="en-US"/>
        </w:rPr>
        <w:t>mesothelium</w:t>
      </w:r>
      <w:r w:rsidR="00381741">
        <w:rPr>
          <w:rFonts w:ascii="Palatino Linotype" w:eastAsia="Times New Roman" w:hAnsi="Palatino Linotype" w:cs="Times New Roman"/>
          <w:sz w:val="18"/>
          <w:szCs w:val="18"/>
          <w:lang w:val="en-US"/>
        </w:rPr>
        <w:t xml:space="preserve">), and </w:t>
      </w:r>
      <w:r w:rsidR="00381741" w:rsidRPr="00F4777F">
        <w:rPr>
          <w:rFonts w:ascii="Palatino Linotype" w:eastAsia="Times New Roman" w:hAnsi="Palatino Linotype" w:cs="Times New Roman"/>
          <w:sz w:val="18"/>
          <w:szCs w:val="18"/>
          <w:lang w:val="en-US"/>
        </w:rPr>
        <w:t xml:space="preserve">the area inside the </w:t>
      </w:r>
      <w:r w:rsidR="00381741">
        <w:rPr>
          <w:rFonts w:ascii="Palatino Linotype" w:eastAsia="Times New Roman" w:hAnsi="Palatino Linotype" w:cs="Times New Roman"/>
          <w:sz w:val="18"/>
          <w:szCs w:val="18"/>
          <w:lang w:val="en-US"/>
        </w:rPr>
        <w:t>red</w:t>
      </w:r>
      <w:r w:rsidR="00381741" w:rsidRPr="00F4777F">
        <w:rPr>
          <w:rFonts w:ascii="Palatino Linotype" w:eastAsia="Times New Roman" w:hAnsi="Palatino Linotype" w:cs="Times New Roman"/>
          <w:sz w:val="18"/>
          <w:szCs w:val="18"/>
          <w:lang w:val="en-US"/>
        </w:rPr>
        <w:t xml:space="preserve"> line represent the connective tissue</w:t>
      </w:r>
      <w:r w:rsidR="00381741">
        <w:rPr>
          <w:rFonts w:ascii="Palatino Linotype" w:eastAsia="Times New Roman" w:hAnsi="Palatino Linotype" w:cs="Times New Roman"/>
          <w:sz w:val="18"/>
          <w:szCs w:val="18"/>
          <w:lang w:val="en-US"/>
        </w:rPr>
        <w:t xml:space="preserve"> (mesenchyme)</w:t>
      </w:r>
      <w:r w:rsidR="00320289" w:rsidRPr="00F4777F">
        <w:rPr>
          <w:rFonts w:ascii="Palatino Linotype" w:eastAsia="Times New Roman" w:hAnsi="Palatino Linotype" w:cs="Times New Roman"/>
          <w:sz w:val="18"/>
          <w:szCs w:val="18"/>
          <w:lang w:val="en-US"/>
        </w:rPr>
        <w:t xml:space="preserve">. The areas of the rudiments were </w:t>
      </w:r>
      <w:r w:rsidR="007E574A" w:rsidRPr="00F4777F">
        <w:rPr>
          <w:rFonts w:ascii="Palatino Linotype" w:eastAsia="Times New Roman" w:hAnsi="Palatino Linotype" w:cs="Times New Roman"/>
          <w:sz w:val="18"/>
          <w:szCs w:val="18"/>
          <w:lang w:val="en-US"/>
        </w:rPr>
        <w:t>measured,</w:t>
      </w:r>
      <w:r w:rsidR="00FA2C9F" w:rsidRPr="00F4777F">
        <w:rPr>
          <w:rFonts w:ascii="Palatino Linotype" w:eastAsia="Times New Roman" w:hAnsi="Palatino Linotype" w:cs="Times New Roman"/>
          <w:sz w:val="18"/>
          <w:szCs w:val="18"/>
          <w:lang w:val="en-US"/>
        </w:rPr>
        <w:t xml:space="preserve"> </w:t>
      </w:r>
      <w:r w:rsidR="00320289" w:rsidRPr="00F4777F">
        <w:rPr>
          <w:rFonts w:ascii="Palatino Linotype" w:eastAsia="Times New Roman" w:hAnsi="Palatino Linotype" w:cs="Times New Roman"/>
          <w:sz w:val="18"/>
          <w:szCs w:val="18"/>
          <w:lang w:val="en-US"/>
        </w:rPr>
        <w:t>and cells were quantified both using ImageJ Software.</w:t>
      </w:r>
    </w:p>
    <w:p w14:paraId="28486E63" w14:textId="77777777" w:rsidR="00ED2A4E" w:rsidRPr="00F4777F" w:rsidRDefault="00ED2A4E">
      <w:pPr>
        <w:spacing w:after="160" w:line="259" w:lineRule="auto"/>
        <w:jc w:val="both"/>
        <w:rPr>
          <w:rFonts w:ascii="Palatino Linotype" w:eastAsia="Times New Roman" w:hAnsi="Palatino Linotype" w:cs="Times New Roman"/>
          <w:sz w:val="20"/>
          <w:szCs w:val="20"/>
          <w:lang w:val="en-US"/>
        </w:rPr>
      </w:pPr>
    </w:p>
    <w:p w14:paraId="7DBFA4C0" w14:textId="77777777" w:rsidR="00ED2A4E" w:rsidRPr="00F4777F" w:rsidRDefault="00ED2A4E">
      <w:pPr>
        <w:spacing w:after="160" w:line="259" w:lineRule="auto"/>
        <w:jc w:val="both"/>
        <w:rPr>
          <w:rFonts w:ascii="Palatino Linotype" w:eastAsia="Times New Roman" w:hAnsi="Palatino Linotype" w:cs="Times New Roman"/>
          <w:sz w:val="20"/>
          <w:szCs w:val="20"/>
          <w:lang w:val="en-US"/>
        </w:rPr>
      </w:pPr>
    </w:p>
    <w:p w14:paraId="3C206352" w14:textId="77777777" w:rsidR="00ED2A4E" w:rsidRPr="00F4777F" w:rsidRDefault="00ED2A4E">
      <w:pPr>
        <w:spacing w:after="160" w:line="259" w:lineRule="auto"/>
        <w:jc w:val="both"/>
        <w:rPr>
          <w:rFonts w:ascii="Palatino Linotype" w:eastAsia="Times New Roman" w:hAnsi="Palatino Linotype" w:cs="Times New Roman"/>
          <w:sz w:val="20"/>
          <w:szCs w:val="20"/>
          <w:lang w:val="en-US"/>
        </w:rPr>
      </w:pPr>
    </w:p>
    <w:p w14:paraId="418F0726" w14:textId="55710EE3" w:rsidR="00ED2A4E" w:rsidRPr="00F4777F" w:rsidRDefault="00ED2A4E">
      <w:pPr>
        <w:spacing w:after="160" w:line="259" w:lineRule="auto"/>
        <w:jc w:val="both"/>
        <w:rPr>
          <w:rFonts w:ascii="Palatino Linotype" w:eastAsia="Times New Roman" w:hAnsi="Palatino Linotype" w:cs="Times New Roman"/>
          <w:sz w:val="20"/>
          <w:szCs w:val="20"/>
          <w:lang w:val="en-US"/>
        </w:rPr>
      </w:pPr>
    </w:p>
    <w:p w14:paraId="6D550490" w14:textId="719CE9F1" w:rsidR="00080526" w:rsidRPr="00F4777F" w:rsidRDefault="00080526">
      <w:pPr>
        <w:spacing w:after="160" w:line="259" w:lineRule="auto"/>
        <w:jc w:val="both"/>
        <w:rPr>
          <w:rFonts w:ascii="Palatino Linotype" w:eastAsia="Times New Roman" w:hAnsi="Palatino Linotype" w:cs="Times New Roman"/>
          <w:sz w:val="20"/>
          <w:szCs w:val="20"/>
          <w:lang w:val="en-US"/>
        </w:rPr>
      </w:pPr>
    </w:p>
    <w:p w14:paraId="2BC7B677" w14:textId="77777777" w:rsidR="00080526" w:rsidRPr="00F4777F" w:rsidRDefault="00080526">
      <w:pPr>
        <w:spacing w:after="160" w:line="259" w:lineRule="auto"/>
        <w:jc w:val="both"/>
        <w:rPr>
          <w:rFonts w:ascii="Palatino Linotype" w:eastAsia="Times New Roman" w:hAnsi="Palatino Linotype" w:cs="Times New Roman"/>
          <w:sz w:val="20"/>
          <w:szCs w:val="20"/>
          <w:lang w:val="en-US"/>
        </w:rPr>
      </w:pPr>
    </w:p>
    <w:p w14:paraId="271205C9" w14:textId="77777777" w:rsidR="00ED2A4E" w:rsidRPr="00F4777F" w:rsidRDefault="00ED2A4E">
      <w:pPr>
        <w:spacing w:after="160" w:line="259" w:lineRule="auto"/>
        <w:jc w:val="both"/>
        <w:rPr>
          <w:rFonts w:ascii="Palatino Linotype" w:eastAsia="Times New Roman" w:hAnsi="Palatino Linotype" w:cs="Times New Roman"/>
          <w:sz w:val="20"/>
          <w:szCs w:val="20"/>
          <w:lang w:val="en-US"/>
        </w:rPr>
      </w:pPr>
    </w:p>
    <w:p w14:paraId="7974C6B5" w14:textId="77777777" w:rsidR="00ED2A4E" w:rsidRPr="00F4777F" w:rsidRDefault="00ED2A4E">
      <w:pPr>
        <w:spacing w:after="160" w:line="259" w:lineRule="auto"/>
        <w:jc w:val="both"/>
        <w:rPr>
          <w:rFonts w:ascii="Palatino Linotype" w:eastAsia="Times New Roman" w:hAnsi="Palatino Linotype" w:cs="Times New Roman"/>
          <w:sz w:val="20"/>
          <w:szCs w:val="20"/>
          <w:lang w:val="en-US"/>
        </w:rPr>
      </w:pPr>
    </w:p>
    <w:p w14:paraId="0FF81407" w14:textId="77777777" w:rsidR="00ED2A4E" w:rsidRPr="00F4777F" w:rsidRDefault="00ED2A4E">
      <w:pPr>
        <w:spacing w:after="160" w:line="259" w:lineRule="auto"/>
        <w:jc w:val="both"/>
        <w:rPr>
          <w:rFonts w:ascii="Palatino Linotype" w:eastAsia="Times New Roman" w:hAnsi="Palatino Linotype" w:cs="Times New Roman"/>
          <w:sz w:val="20"/>
          <w:szCs w:val="20"/>
          <w:lang w:val="en-US"/>
        </w:rPr>
      </w:pPr>
    </w:p>
    <w:p w14:paraId="3B251733" w14:textId="2EA6F0CF" w:rsidR="00ED2A4E" w:rsidRPr="00F4777F" w:rsidRDefault="00080526" w:rsidP="000B5B33">
      <w:pPr>
        <w:spacing w:after="160" w:line="259" w:lineRule="auto"/>
        <w:jc w:val="center"/>
        <w:rPr>
          <w:rFonts w:ascii="Palatino Linotype" w:eastAsia="Times New Roman" w:hAnsi="Palatino Linotype" w:cs="Times New Roman"/>
          <w:sz w:val="20"/>
          <w:szCs w:val="20"/>
        </w:rPr>
      </w:pPr>
      <w:r w:rsidRPr="00F4777F">
        <w:rPr>
          <w:noProof/>
        </w:rPr>
        <w:lastRenderedPageBreak/>
        <w:drawing>
          <wp:inline distT="0" distB="0" distL="0" distR="0" wp14:anchorId="199A3172" wp14:editId="6FA1D64B">
            <wp:extent cx="4886325" cy="282892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86325" cy="2828925"/>
                    </a:xfrm>
                    <a:prstGeom prst="rect">
                      <a:avLst/>
                    </a:prstGeom>
                    <a:noFill/>
                    <a:ln>
                      <a:noFill/>
                    </a:ln>
                  </pic:spPr>
                </pic:pic>
              </a:graphicData>
            </a:graphic>
          </wp:inline>
        </w:drawing>
      </w:r>
    </w:p>
    <w:p w14:paraId="18F7E462" w14:textId="4766A2F8" w:rsidR="00ED2A4E" w:rsidRPr="00F4777F" w:rsidRDefault="00320289">
      <w:pPr>
        <w:spacing w:line="240" w:lineRule="auto"/>
        <w:jc w:val="both"/>
        <w:rPr>
          <w:rFonts w:ascii="Palatino Linotype" w:eastAsia="Palatino Linotype" w:hAnsi="Palatino Linotype" w:cs="Palatino Linotype"/>
          <w:sz w:val="18"/>
          <w:szCs w:val="18"/>
          <w:lang w:val="en-US"/>
        </w:rPr>
      </w:pPr>
      <w:r w:rsidRPr="00F4777F">
        <w:rPr>
          <w:rFonts w:ascii="Palatino Linotype" w:eastAsia="Palatino Linotype" w:hAnsi="Palatino Linotype" w:cs="Palatino Linotype"/>
          <w:b/>
          <w:sz w:val="18"/>
          <w:szCs w:val="18"/>
          <w:lang w:val="en-US"/>
        </w:rPr>
        <w:t>Figure S1:</w:t>
      </w:r>
      <w:r w:rsidRPr="00F4777F">
        <w:rPr>
          <w:rFonts w:ascii="Palatino Linotype" w:eastAsia="Palatino Linotype" w:hAnsi="Palatino Linotype" w:cs="Palatino Linotype"/>
          <w:sz w:val="18"/>
          <w:szCs w:val="18"/>
          <w:lang w:val="en-US"/>
        </w:rPr>
        <w:t xml:space="preserve"> Survival proportion after treatments with antibiotics for 10-dpe. A</w:t>
      </w:r>
      <w:r w:rsidRPr="00F4777F">
        <w:rPr>
          <w:rFonts w:ascii="Palatino Linotype" w:eastAsia="Palatino Linotype" w:hAnsi="Palatino Linotype" w:cs="Palatino Linotype"/>
          <w:i/>
          <w:sz w:val="18"/>
          <w:szCs w:val="18"/>
          <w:lang w:val="en-US"/>
        </w:rPr>
        <w:t xml:space="preserve"> </w:t>
      </w:r>
      <w:r w:rsidRPr="00F4777F">
        <w:rPr>
          <w:rFonts w:ascii="Palatino Linotype" w:eastAsia="Palatino Linotype" w:hAnsi="Palatino Linotype" w:cs="Palatino Linotype"/>
          <w:sz w:val="18"/>
          <w:szCs w:val="18"/>
          <w:lang w:val="en-US"/>
        </w:rPr>
        <w:t xml:space="preserve">Kaplan-Meier survival curve </w:t>
      </w:r>
      <w:r w:rsidR="005950FA" w:rsidRPr="00F4777F">
        <w:rPr>
          <w:rFonts w:ascii="Palatino Linotype" w:eastAsia="Palatino Linotype" w:hAnsi="Palatino Linotype" w:cs="Palatino Linotype"/>
          <w:sz w:val="18"/>
          <w:szCs w:val="18"/>
          <w:lang w:val="en-US"/>
        </w:rPr>
        <w:t xml:space="preserve">and Log-rank (Mantel-Cox) test were performed </w:t>
      </w:r>
      <w:r w:rsidRPr="00F4777F">
        <w:rPr>
          <w:rFonts w:ascii="Palatino Linotype" w:eastAsia="Palatino Linotype" w:hAnsi="Palatino Linotype" w:cs="Palatino Linotype"/>
          <w:sz w:val="18"/>
          <w:szCs w:val="18"/>
          <w:lang w:val="en-US"/>
        </w:rPr>
        <w:t>to analyze the survival rate of regeneration sea cucumbers during antibiotic treatments, surviving animals were sacrificed 10-dpe for histological analysis.</w:t>
      </w:r>
      <w:r w:rsidR="005950FA" w:rsidRPr="00F4777F">
        <w:rPr>
          <w:rFonts w:ascii="Palatino Linotype" w:eastAsia="Palatino Linotype" w:hAnsi="Palatino Linotype" w:cs="Palatino Linotype"/>
          <w:sz w:val="18"/>
          <w:szCs w:val="18"/>
          <w:lang w:val="en-US"/>
        </w:rPr>
        <w:t xml:space="preserve"> </w:t>
      </w:r>
      <w:r w:rsidRPr="00F4777F">
        <w:rPr>
          <w:rFonts w:ascii="Palatino Linotype" w:eastAsia="Palatino Linotype" w:hAnsi="Palatino Linotype" w:cs="Palatino Linotype"/>
          <w:sz w:val="18"/>
          <w:szCs w:val="18"/>
          <w:lang w:val="en-US"/>
        </w:rPr>
        <w:t xml:space="preserve">“n” value represents the number of individuals at the beginning of the treatment. Results </w:t>
      </w:r>
      <w:r w:rsidR="00080526" w:rsidRPr="00F4777F">
        <w:rPr>
          <w:rFonts w:ascii="Palatino Linotype" w:eastAsia="Palatino Linotype" w:hAnsi="Palatino Linotype" w:cs="Palatino Linotype"/>
          <w:sz w:val="18"/>
          <w:szCs w:val="18"/>
          <w:lang w:val="en-US"/>
        </w:rPr>
        <w:t xml:space="preserve">from at least nine (9) animals </w:t>
      </w:r>
      <w:r w:rsidRPr="00F4777F">
        <w:rPr>
          <w:rFonts w:ascii="Palatino Linotype" w:eastAsia="Palatino Linotype" w:hAnsi="Palatino Linotype" w:cs="Palatino Linotype"/>
          <w:sz w:val="18"/>
          <w:szCs w:val="18"/>
          <w:lang w:val="en-US"/>
        </w:rPr>
        <w:t>were graphed and analyzed using GraphPad PRISM 6.0</w:t>
      </w:r>
      <w:r w:rsidR="005950FA" w:rsidRPr="00F4777F">
        <w:rPr>
          <w:rFonts w:ascii="Palatino Linotype" w:eastAsia="Palatino Linotype" w:hAnsi="Palatino Linotype" w:cs="Palatino Linotype"/>
          <w:sz w:val="18"/>
          <w:szCs w:val="18"/>
          <w:lang w:val="en-US"/>
        </w:rPr>
        <w:t>.</w:t>
      </w:r>
    </w:p>
    <w:p w14:paraId="790149CE" w14:textId="77777777" w:rsidR="00ED2A4E" w:rsidRPr="00F4777F" w:rsidRDefault="00ED2A4E">
      <w:pPr>
        <w:spacing w:after="160" w:line="259" w:lineRule="auto"/>
        <w:jc w:val="both"/>
        <w:rPr>
          <w:rFonts w:ascii="Palatino Linotype" w:eastAsia="Times New Roman" w:hAnsi="Palatino Linotype" w:cs="Times New Roman"/>
          <w:i/>
          <w:sz w:val="20"/>
          <w:szCs w:val="20"/>
          <w:lang w:val="en-US"/>
        </w:rPr>
      </w:pPr>
    </w:p>
    <w:p w14:paraId="41796B9B" w14:textId="77777777" w:rsidR="00ED2A4E" w:rsidRPr="00F4777F" w:rsidRDefault="00ED2A4E">
      <w:pPr>
        <w:spacing w:line="360" w:lineRule="auto"/>
        <w:jc w:val="both"/>
        <w:rPr>
          <w:rFonts w:ascii="Palatino Linotype" w:eastAsia="Times New Roman" w:hAnsi="Palatino Linotype" w:cs="Times New Roman"/>
          <w:i/>
          <w:sz w:val="20"/>
          <w:szCs w:val="20"/>
          <w:lang w:val="en-US"/>
        </w:rPr>
      </w:pPr>
    </w:p>
    <w:p w14:paraId="343D41AF" w14:textId="4AD7406C" w:rsidR="00ED2A4E" w:rsidRDefault="00A550FD" w:rsidP="00A550FD">
      <w:pPr>
        <w:spacing w:after="240" w:line="360" w:lineRule="auto"/>
        <w:jc w:val="both"/>
        <w:rPr>
          <w:rFonts w:ascii="Palatino Linotype" w:hAnsi="Palatino Linotype"/>
          <w:sz w:val="18"/>
          <w:szCs w:val="18"/>
          <w:lang w:val="en-US"/>
        </w:rPr>
      </w:pPr>
      <w:r>
        <w:rPr>
          <w:noProof/>
        </w:rPr>
        <w:lastRenderedPageBreak/>
        <w:drawing>
          <wp:inline distT="0" distB="0" distL="0" distR="0" wp14:anchorId="46403F6D" wp14:editId="51D2992F">
            <wp:extent cx="5733415" cy="5827776"/>
            <wp:effectExtent l="0" t="0" r="635"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5881"/>
                    <a:stretch/>
                  </pic:blipFill>
                  <pic:spPr bwMode="auto">
                    <a:xfrm>
                      <a:off x="0" y="0"/>
                      <a:ext cx="5733415" cy="5827776"/>
                    </a:xfrm>
                    <a:prstGeom prst="rect">
                      <a:avLst/>
                    </a:prstGeom>
                    <a:noFill/>
                    <a:ln>
                      <a:noFill/>
                    </a:ln>
                    <a:extLst>
                      <a:ext uri="{53640926-AAD7-44D8-BBD7-CCE9431645EC}">
                        <a14:shadowObscured xmlns:a14="http://schemas.microsoft.com/office/drawing/2010/main"/>
                      </a:ext>
                    </a:extLst>
                  </pic:spPr>
                </pic:pic>
              </a:graphicData>
            </a:graphic>
          </wp:inline>
        </w:drawing>
      </w:r>
      <w:bookmarkStart w:id="4" w:name="_gjdgxs" w:colFirst="0" w:colLast="0"/>
      <w:bookmarkEnd w:id="4"/>
      <w:r w:rsidR="00320289" w:rsidRPr="00F4777F">
        <w:rPr>
          <w:rFonts w:ascii="Palatino Linotype" w:eastAsia="Palatino Linotype" w:hAnsi="Palatino Linotype" w:cs="Palatino Linotype"/>
          <w:b/>
          <w:sz w:val="18"/>
          <w:szCs w:val="18"/>
          <w:lang w:val="en-US"/>
        </w:rPr>
        <w:t>Figure S2:</w:t>
      </w:r>
      <w:r w:rsidR="00320289" w:rsidRPr="00F4777F">
        <w:rPr>
          <w:rFonts w:ascii="Palatino Linotype" w:eastAsia="Palatino Linotype" w:hAnsi="Palatino Linotype" w:cs="Palatino Linotype"/>
          <w:sz w:val="18"/>
          <w:szCs w:val="18"/>
          <w:lang w:val="en-US"/>
        </w:rPr>
        <w:t xml:space="preserve"> In vitro toxicity assays. A) Culture of cells treated with antibiotics (pH 7.5) after incubation with MTT reagent. B, C and D show the dose effects of K, E and PS on disassociated muscle cells after 48 </w:t>
      </w:r>
      <w:proofErr w:type="spellStart"/>
      <w:r w:rsidR="00320289" w:rsidRPr="00F4777F">
        <w:rPr>
          <w:rFonts w:ascii="Palatino Linotype" w:eastAsia="Palatino Linotype" w:hAnsi="Palatino Linotype" w:cs="Palatino Linotype"/>
          <w:sz w:val="18"/>
          <w:szCs w:val="18"/>
          <w:lang w:val="en-US"/>
        </w:rPr>
        <w:t>hrs</w:t>
      </w:r>
      <w:proofErr w:type="spellEnd"/>
      <w:r w:rsidR="00320289" w:rsidRPr="00F4777F">
        <w:rPr>
          <w:rFonts w:ascii="Palatino Linotype" w:eastAsia="Palatino Linotype" w:hAnsi="Palatino Linotype" w:cs="Palatino Linotype"/>
          <w:sz w:val="18"/>
          <w:szCs w:val="18"/>
          <w:lang w:val="en-US"/>
        </w:rPr>
        <w:t xml:space="preserve"> and 72hrs. E and F present the dose effects after 48hrs in culture when K or E, are added to PS 100 </w:t>
      </w:r>
      <w:r w:rsidR="00320289" w:rsidRPr="00F4777F">
        <w:rPr>
          <w:rFonts w:ascii="Palatino Linotype" w:eastAsia="Palatino Linotype" w:hAnsi="Palatino Linotype" w:cs="Palatino Linotype"/>
          <w:sz w:val="18"/>
          <w:szCs w:val="18"/>
        </w:rPr>
        <w:t>μ</w:t>
      </w:r>
      <w:r w:rsidR="00320289" w:rsidRPr="00F4777F">
        <w:rPr>
          <w:rFonts w:ascii="Palatino Linotype" w:eastAsia="Palatino Linotype" w:hAnsi="Palatino Linotype" w:cs="Palatino Linotype"/>
          <w:sz w:val="18"/>
          <w:szCs w:val="18"/>
          <w:lang w:val="en-US"/>
        </w:rPr>
        <w:t>g/</w:t>
      </w:r>
      <w:proofErr w:type="spellStart"/>
      <w:r w:rsidR="00320289" w:rsidRPr="00F4777F">
        <w:rPr>
          <w:rFonts w:ascii="Palatino Linotype" w:eastAsia="Palatino Linotype" w:hAnsi="Palatino Linotype" w:cs="Palatino Linotype"/>
          <w:sz w:val="18"/>
          <w:szCs w:val="18"/>
          <w:lang w:val="en-US"/>
        </w:rPr>
        <w:t>mL.</w:t>
      </w:r>
      <w:proofErr w:type="spellEnd"/>
      <w:r w:rsidR="00320289" w:rsidRPr="00F4777F">
        <w:rPr>
          <w:rFonts w:ascii="Palatino Linotype" w:eastAsia="Palatino Linotype" w:hAnsi="Palatino Linotype" w:cs="Palatino Linotype"/>
          <w:sz w:val="18"/>
          <w:szCs w:val="18"/>
          <w:lang w:val="en-US"/>
        </w:rPr>
        <w:t xml:space="preserve"> Cells were cultured in triplicates (3 wells for each concentration) per plate. The values are presented as the average of at least three plate culture replicates. Results are represented as rate of metabolic activity</w:t>
      </w:r>
      <w:r w:rsidR="00DD0CFC" w:rsidRPr="00F4777F">
        <w:rPr>
          <w:rFonts w:ascii="Palatino Linotype" w:eastAsia="Palatino Linotype" w:hAnsi="Palatino Linotype" w:cs="Palatino Linotype"/>
          <w:sz w:val="18"/>
          <w:szCs w:val="18"/>
          <w:lang w:val="en-US"/>
        </w:rPr>
        <w:t xml:space="preserve">, and </w:t>
      </w:r>
      <w:r w:rsidR="00320289" w:rsidRPr="00F4777F">
        <w:rPr>
          <w:rFonts w:ascii="Palatino Linotype" w:eastAsia="Palatino Linotype" w:hAnsi="Palatino Linotype" w:cs="Palatino Linotype"/>
          <w:sz w:val="18"/>
          <w:szCs w:val="18"/>
          <w:lang w:val="en-US"/>
        </w:rPr>
        <w:t>SEM are shown in error bars.</w:t>
      </w:r>
      <w:r w:rsidR="00F4777F" w:rsidRPr="00F4777F">
        <w:rPr>
          <w:rFonts w:ascii="Palatino Linotype" w:eastAsia="Palatino Linotype" w:hAnsi="Palatino Linotype" w:cs="Palatino Linotype"/>
          <w:sz w:val="18"/>
          <w:szCs w:val="18"/>
          <w:lang w:val="en-US"/>
        </w:rPr>
        <w:t xml:space="preserve"> </w:t>
      </w:r>
      <w:r w:rsidR="00C76C1E" w:rsidRPr="00E14765">
        <w:rPr>
          <w:rFonts w:ascii="Palatino Linotype" w:hAnsi="Palatino Linotype"/>
          <w:sz w:val="18"/>
          <w:szCs w:val="18"/>
          <w:lang w:val="en-US"/>
        </w:rPr>
        <w:t>Asterisks</w:t>
      </w:r>
      <w:r w:rsidR="00E14765" w:rsidRPr="00E14765">
        <w:rPr>
          <w:rFonts w:ascii="Palatino Linotype" w:hAnsi="Palatino Linotype"/>
          <w:sz w:val="18"/>
          <w:szCs w:val="18"/>
          <w:lang w:val="en-US"/>
        </w:rPr>
        <w:t xml:space="preserve"> show t-test comparisons between non-treated cells and experimental groups *</w:t>
      </w:r>
      <w:r w:rsidR="000B5B33">
        <w:rPr>
          <w:rFonts w:ascii="Palatino Linotype" w:hAnsi="Palatino Linotype"/>
          <w:sz w:val="18"/>
          <w:szCs w:val="18"/>
          <w:lang w:val="en-US"/>
        </w:rPr>
        <w:t xml:space="preserve"> </w:t>
      </w:r>
      <w:r w:rsidR="00E14765" w:rsidRPr="000B5B33">
        <w:rPr>
          <w:rFonts w:ascii="Palatino Linotype" w:hAnsi="Palatino Linotype"/>
          <w:i/>
          <w:iCs/>
          <w:sz w:val="18"/>
          <w:szCs w:val="18"/>
          <w:lang w:val="en-US"/>
        </w:rPr>
        <w:t>p</w:t>
      </w:r>
      <w:r w:rsidR="000B5B33">
        <w:rPr>
          <w:rFonts w:ascii="Palatino Linotype" w:hAnsi="Palatino Linotype"/>
          <w:i/>
          <w:iCs/>
          <w:sz w:val="18"/>
          <w:szCs w:val="18"/>
          <w:lang w:val="en-US"/>
        </w:rPr>
        <w:t xml:space="preserve"> </w:t>
      </w:r>
      <w:r w:rsidR="00E14765" w:rsidRPr="00E14765">
        <w:rPr>
          <w:rFonts w:ascii="Palatino Linotype" w:hAnsi="Palatino Linotype"/>
          <w:sz w:val="18"/>
          <w:szCs w:val="18"/>
          <w:lang w:val="en-US"/>
        </w:rPr>
        <w:t>&lt; 0.05, **</w:t>
      </w:r>
      <w:r w:rsidR="000B5B33" w:rsidRPr="000B5B33">
        <w:rPr>
          <w:rFonts w:ascii="Palatino Linotype" w:hAnsi="Palatino Linotype"/>
          <w:i/>
          <w:iCs/>
          <w:sz w:val="18"/>
          <w:szCs w:val="18"/>
          <w:lang w:val="en-US"/>
        </w:rPr>
        <w:t xml:space="preserve"> p</w:t>
      </w:r>
      <w:r w:rsidR="000B5B33">
        <w:rPr>
          <w:rFonts w:ascii="Palatino Linotype" w:hAnsi="Palatino Linotype"/>
          <w:i/>
          <w:iCs/>
          <w:sz w:val="18"/>
          <w:szCs w:val="18"/>
          <w:lang w:val="en-US"/>
        </w:rPr>
        <w:t xml:space="preserve"> </w:t>
      </w:r>
      <w:r w:rsidR="00E14765" w:rsidRPr="00E14765">
        <w:rPr>
          <w:rFonts w:ascii="Palatino Linotype" w:hAnsi="Palatino Linotype"/>
          <w:sz w:val="18"/>
          <w:szCs w:val="18"/>
          <w:lang w:val="en-US"/>
        </w:rPr>
        <w:t>&lt; 0.01, ***</w:t>
      </w:r>
      <w:r w:rsidR="000B5B33" w:rsidRPr="000B5B33">
        <w:rPr>
          <w:rFonts w:ascii="Palatino Linotype" w:hAnsi="Palatino Linotype"/>
          <w:i/>
          <w:iCs/>
          <w:sz w:val="18"/>
          <w:szCs w:val="18"/>
          <w:lang w:val="en-US"/>
        </w:rPr>
        <w:t xml:space="preserve"> p</w:t>
      </w:r>
      <w:r w:rsidR="000B5B33">
        <w:rPr>
          <w:rFonts w:ascii="Palatino Linotype" w:hAnsi="Palatino Linotype"/>
          <w:i/>
          <w:iCs/>
          <w:sz w:val="18"/>
          <w:szCs w:val="18"/>
          <w:lang w:val="en-US"/>
        </w:rPr>
        <w:t xml:space="preserve"> </w:t>
      </w:r>
      <w:r w:rsidR="00E14765" w:rsidRPr="00E14765">
        <w:rPr>
          <w:rFonts w:ascii="Palatino Linotype" w:hAnsi="Palatino Linotype"/>
          <w:sz w:val="18"/>
          <w:szCs w:val="18"/>
          <w:lang w:val="en-US"/>
        </w:rPr>
        <w:t>&lt; 0.001, ****</w:t>
      </w:r>
      <w:r w:rsidR="000B5B33" w:rsidRPr="000B5B33">
        <w:rPr>
          <w:rFonts w:ascii="Palatino Linotype" w:hAnsi="Palatino Linotype"/>
          <w:i/>
          <w:iCs/>
          <w:sz w:val="18"/>
          <w:szCs w:val="18"/>
          <w:lang w:val="en-US"/>
        </w:rPr>
        <w:t xml:space="preserve"> p</w:t>
      </w:r>
      <w:r w:rsidR="000B5B33">
        <w:rPr>
          <w:rFonts w:ascii="Palatino Linotype" w:hAnsi="Palatino Linotype"/>
          <w:i/>
          <w:iCs/>
          <w:sz w:val="18"/>
          <w:szCs w:val="18"/>
          <w:lang w:val="en-US"/>
        </w:rPr>
        <w:t xml:space="preserve"> </w:t>
      </w:r>
      <w:r w:rsidR="00E14765" w:rsidRPr="00E14765">
        <w:rPr>
          <w:rFonts w:ascii="Palatino Linotype" w:hAnsi="Palatino Linotype"/>
          <w:sz w:val="18"/>
          <w:szCs w:val="18"/>
          <w:lang w:val="en-US"/>
        </w:rPr>
        <w:t>&lt; 0.0001</w:t>
      </w:r>
      <w:r w:rsidR="00F4777F" w:rsidRPr="00E14765">
        <w:rPr>
          <w:rFonts w:ascii="Palatino Linotype" w:hAnsi="Palatino Linotype"/>
          <w:sz w:val="18"/>
          <w:szCs w:val="18"/>
          <w:lang w:val="en-US"/>
        </w:rPr>
        <w:t>.</w:t>
      </w:r>
    </w:p>
    <w:p w14:paraId="3ECF4840" w14:textId="311390FF" w:rsidR="00CC6A6E" w:rsidRDefault="00CC6A6E" w:rsidP="00A550FD">
      <w:pPr>
        <w:spacing w:after="240" w:line="360" w:lineRule="auto"/>
        <w:jc w:val="both"/>
        <w:rPr>
          <w:rFonts w:ascii="Palatino Linotype" w:hAnsi="Palatino Linotype"/>
          <w:sz w:val="18"/>
          <w:szCs w:val="18"/>
          <w:lang w:val="en-US"/>
        </w:rPr>
      </w:pPr>
    </w:p>
    <w:p w14:paraId="56AE66FE" w14:textId="7BB20EBD" w:rsidR="00CC6A6E" w:rsidRDefault="00CC6A6E" w:rsidP="00A550FD">
      <w:pPr>
        <w:spacing w:after="240" w:line="360" w:lineRule="auto"/>
        <w:jc w:val="both"/>
        <w:rPr>
          <w:rFonts w:ascii="Palatino Linotype" w:hAnsi="Palatino Linotype"/>
          <w:sz w:val="18"/>
          <w:szCs w:val="18"/>
          <w:lang w:val="en-US"/>
        </w:rPr>
      </w:pPr>
    </w:p>
    <w:p w14:paraId="6AF34B7C" w14:textId="12A3D1EE" w:rsidR="00CC6A6E" w:rsidRDefault="00CC6A6E" w:rsidP="00A550FD">
      <w:pPr>
        <w:spacing w:after="240" w:line="360" w:lineRule="auto"/>
        <w:jc w:val="both"/>
        <w:rPr>
          <w:rFonts w:ascii="Palatino Linotype" w:hAnsi="Palatino Linotype"/>
          <w:sz w:val="18"/>
          <w:szCs w:val="18"/>
          <w:lang w:val="en-US"/>
        </w:rPr>
      </w:pPr>
    </w:p>
    <w:p w14:paraId="2D62A084" w14:textId="77777777" w:rsidR="00CC6A6E" w:rsidRPr="00F4777F" w:rsidRDefault="00CC6A6E" w:rsidP="00CC6A6E">
      <w:pPr>
        <w:spacing w:line="240" w:lineRule="auto"/>
        <w:jc w:val="both"/>
        <w:rPr>
          <w:rFonts w:ascii="Palatino Linotype" w:eastAsia="Palatino Linotype" w:hAnsi="Palatino Linotype" w:cs="Palatino Linotype"/>
          <w:sz w:val="18"/>
          <w:szCs w:val="18"/>
          <w:lang w:val="en-US"/>
        </w:rPr>
      </w:pPr>
      <w:r w:rsidRPr="00F4777F">
        <w:rPr>
          <w:rFonts w:ascii="Palatino Linotype" w:hAnsi="Palatino Linotype"/>
          <w:b/>
          <w:bCs/>
          <w:color w:val="000000"/>
          <w:sz w:val="18"/>
          <w:szCs w:val="18"/>
          <w:lang w:val="en-US"/>
        </w:rPr>
        <w:lastRenderedPageBreak/>
        <w:t>References in Supplementary Materials</w:t>
      </w:r>
      <w:r w:rsidRPr="00F4777F">
        <w:rPr>
          <w:rFonts w:ascii="Palatino Linotype" w:eastAsia="Palatino Linotype" w:hAnsi="Palatino Linotype" w:cs="Palatino Linotype"/>
          <w:sz w:val="18"/>
          <w:szCs w:val="18"/>
          <w:lang w:val="en-US"/>
        </w:rPr>
        <w:t xml:space="preserve"> (also cited in main article)</w:t>
      </w:r>
    </w:p>
    <w:p w14:paraId="3BB4AA91" w14:textId="77777777" w:rsidR="00CC6A6E" w:rsidRPr="00F4777F" w:rsidRDefault="00CC6A6E" w:rsidP="00CC6A6E">
      <w:pPr>
        <w:pStyle w:val="ListParagraph"/>
        <w:spacing w:line="240" w:lineRule="auto"/>
        <w:ind w:left="360" w:hanging="360"/>
        <w:jc w:val="both"/>
        <w:rPr>
          <w:rFonts w:ascii="Palatino Linotype" w:hAnsi="Palatino Linotype"/>
          <w:color w:val="000000"/>
          <w:sz w:val="18"/>
          <w:szCs w:val="18"/>
          <w:lang w:val="en-US"/>
        </w:rPr>
      </w:pPr>
      <w:r w:rsidRPr="00F4777F">
        <w:rPr>
          <w:rFonts w:ascii="Palatino Linotype" w:hAnsi="Palatino Linotype"/>
          <w:color w:val="000000"/>
          <w:sz w:val="18"/>
          <w:szCs w:val="18"/>
          <w:lang w:val="en-US"/>
        </w:rPr>
        <w:t>7</w:t>
      </w:r>
      <w:r>
        <w:rPr>
          <w:rFonts w:ascii="Palatino Linotype" w:hAnsi="Palatino Linotype"/>
          <w:color w:val="000000"/>
          <w:sz w:val="18"/>
          <w:szCs w:val="18"/>
          <w:lang w:val="en-US"/>
        </w:rPr>
        <w:t>1</w:t>
      </w:r>
      <w:r w:rsidRPr="00F4777F">
        <w:rPr>
          <w:rFonts w:ascii="Palatino Linotype" w:hAnsi="Palatino Linotype"/>
          <w:color w:val="000000"/>
          <w:sz w:val="18"/>
          <w:szCs w:val="18"/>
          <w:lang w:val="en-US"/>
        </w:rPr>
        <w:t xml:space="preserve">. </w:t>
      </w:r>
      <w:proofErr w:type="spellStart"/>
      <w:r w:rsidRPr="00F4777F">
        <w:rPr>
          <w:rFonts w:ascii="Palatino Linotype" w:hAnsi="Palatino Linotype" w:cs="Calibri"/>
          <w:color w:val="000000"/>
          <w:sz w:val="18"/>
          <w:szCs w:val="18"/>
          <w:lang w:val="en-US"/>
        </w:rPr>
        <w:t>Quiñones</w:t>
      </w:r>
      <w:proofErr w:type="spellEnd"/>
      <w:r w:rsidRPr="00F4777F">
        <w:rPr>
          <w:rFonts w:ascii="Palatino Linotype" w:hAnsi="Palatino Linotype" w:cs="Calibri"/>
          <w:color w:val="000000"/>
          <w:sz w:val="18"/>
          <w:szCs w:val="18"/>
          <w:lang w:val="en-US"/>
        </w:rPr>
        <w:t xml:space="preserve">, J. L.; Rosa, R.; Ruiz, D. L.; García-Arrarás, J. E. Extracellular Matrix Remodeling and Metalloproteinase Involvement during Intestine Regeneration in the Sea Cucumber Holothuria Glaberrima. </w:t>
      </w:r>
      <w:r w:rsidRPr="00F4777F">
        <w:rPr>
          <w:rFonts w:ascii="Palatino Linotype" w:hAnsi="Palatino Linotype" w:cs="Calibri"/>
          <w:i/>
          <w:iCs/>
          <w:color w:val="000000"/>
          <w:sz w:val="18"/>
          <w:szCs w:val="18"/>
          <w:lang w:val="en-US"/>
        </w:rPr>
        <w:t>Developmental Biology</w:t>
      </w:r>
      <w:r w:rsidRPr="00F4777F">
        <w:rPr>
          <w:rFonts w:ascii="Palatino Linotype" w:hAnsi="Palatino Linotype" w:cs="Calibri"/>
          <w:color w:val="000000"/>
          <w:sz w:val="18"/>
          <w:szCs w:val="18"/>
          <w:lang w:val="en-US"/>
        </w:rPr>
        <w:t xml:space="preserve"> </w:t>
      </w:r>
      <w:r w:rsidRPr="00F4777F">
        <w:rPr>
          <w:rFonts w:ascii="Palatino Linotype" w:hAnsi="Palatino Linotype" w:cs="Calibri"/>
          <w:b/>
          <w:bCs/>
          <w:color w:val="000000"/>
          <w:sz w:val="18"/>
          <w:szCs w:val="18"/>
          <w:lang w:val="en-US"/>
        </w:rPr>
        <w:t>2002</w:t>
      </w:r>
      <w:r w:rsidRPr="00F4777F">
        <w:rPr>
          <w:rFonts w:ascii="Palatino Linotype" w:hAnsi="Palatino Linotype" w:cs="Calibri"/>
          <w:color w:val="000000"/>
          <w:sz w:val="18"/>
          <w:szCs w:val="18"/>
          <w:lang w:val="en-US"/>
        </w:rPr>
        <w:t xml:space="preserve">, </w:t>
      </w:r>
      <w:r w:rsidRPr="00F4777F">
        <w:rPr>
          <w:rFonts w:ascii="Palatino Linotype" w:hAnsi="Palatino Linotype" w:cs="Calibri"/>
          <w:i/>
          <w:iCs/>
          <w:color w:val="000000"/>
          <w:sz w:val="18"/>
          <w:szCs w:val="18"/>
          <w:lang w:val="en-US"/>
        </w:rPr>
        <w:t>250</w:t>
      </w:r>
      <w:r w:rsidRPr="00F4777F">
        <w:rPr>
          <w:rFonts w:ascii="Palatino Linotype" w:hAnsi="Palatino Linotype" w:cs="Calibri"/>
          <w:color w:val="000000"/>
          <w:sz w:val="18"/>
          <w:szCs w:val="18"/>
          <w:lang w:val="en-US"/>
        </w:rPr>
        <w:t xml:space="preserve">, 181–197. </w:t>
      </w:r>
      <w:hyperlink r:id="rId11" w:history="1">
        <w:r w:rsidRPr="00F4777F">
          <w:rPr>
            <w:rStyle w:val="Hyperlink"/>
            <w:rFonts w:ascii="Palatino Linotype" w:hAnsi="Palatino Linotype" w:cs="Calibri"/>
            <w:color w:val="1155CC"/>
            <w:sz w:val="18"/>
            <w:szCs w:val="18"/>
            <w:lang w:val="en-US"/>
          </w:rPr>
          <w:t>https://doi.org/10.1006/dbio.2002.0778</w:t>
        </w:r>
      </w:hyperlink>
      <w:r w:rsidRPr="00F4777F">
        <w:rPr>
          <w:rFonts w:ascii="Palatino Linotype" w:hAnsi="Palatino Linotype" w:cs="Calibri"/>
          <w:color w:val="000000"/>
          <w:sz w:val="18"/>
          <w:szCs w:val="18"/>
          <w:lang w:val="en-US"/>
        </w:rPr>
        <w:t>.</w:t>
      </w:r>
    </w:p>
    <w:p w14:paraId="1D004283" w14:textId="77777777" w:rsidR="00CC6A6E" w:rsidRPr="00CC6A6E" w:rsidRDefault="00CC6A6E" w:rsidP="00CC6A6E">
      <w:pPr>
        <w:pStyle w:val="ListParagraph"/>
        <w:numPr>
          <w:ilvl w:val="0"/>
          <w:numId w:val="9"/>
        </w:numPr>
        <w:spacing w:line="240" w:lineRule="auto"/>
        <w:ind w:left="360"/>
        <w:jc w:val="both"/>
        <w:rPr>
          <w:rFonts w:ascii="Palatino Linotype" w:hAnsi="Palatino Linotype"/>
          <w:color w:val="000000"/>
          <w:sz w:val="18"/>
          <w:szCs w:val="18"/>
          <w:lang w:val="en-US"/>
        </w:rPr>
      </w:pPr>
      <w:proofErr w:type="spellStart"/>
      <w:r w:rsidRPr="00CC6A6E">
        <w:rPr>
          <w:rFonts w:ascii="Palatino Linotype" w:hAnsi="Palatino Linotype"/>
          <w:sz w:val="18"/>
          <w:szCs w:val="18"/>
          <w:lang w:val="en-US"/>
        </w:rPr>
        <w:t>Pasten</w:t>
      </w:r>
      <w:proofErr w:type="spellEnd"/>
      <w:r w:rsidRPr="00CC6A6E">
        <w:rPr>
          <w:rFonts w:ascii="Palatino Linotype" w:hAnsi="Palatino Linotype"/>
          <w:sz w:val="18"/>
          <w:szCs w:val="18"/>
          <w:lang w:val="en-US"/>
        </w:rPr>
        <w:t xml:space="preserve">, C., Rosa, R., Ortiz, S., González, S., &amp; García-Arrarás, J. E. Characterization of proteolytic activities during intestinal regeneration of the sea cucumber, Holothuria glaberrima. </w:t>
      </w:r>
      <w:r w:rsidRPr="00CC6A6E">
        <w:rPr>
          <w:rFonts w:ascii="Palatino Linotype" w:hAnsi="Palatino Linotype"/>
          <w:i/>
          <w:iCs/>
          <w:sz w:val="18"/>
          <w:szCs w:val="18"/>
          <w:lang w:val="en-US"/>
        </w:rPr>
        <w:t>The International journal of developmental biology</w:t>
      </w:r>
      <w:r w:rsidRPr="00CC6A6E">
        <w:rPr>
          <w:rFonts w:ascii="Palatino Linotype" w:hAnsi="Palatino Linotype"/>
          <w:sz w:val="18"/>
          <w:szCs w:val="18"/>
          <w:lang w:val="en-US"/>
        </w:rPr>
        <w:t xml:space="preserve"> </w:t>
      </w:r>
      <w:r w:rsidRPr="00CC6A6E">
        <w:rPr>
          <w:rFonts w:ascii="Palatino Linotype" w:hAnsi="Palatino Linotype"/>
          <w:b/>
          <w:bCs/>
          <w:sz w:val="18"/>
          <w:szCs w:val="18"/>
          <w:lang w:val="en-US"/>
        </w:rPr>
        <w:t>2012</w:t>
      </w:r>
      <w:r w:rsidRPr="00CC6A6E">
        <w:rPr>
          <w:rFonts w:ascii="Palatino Linotype" w:hAnsi="Palatino Linotype"/>
          <w:sz w:val="18"/>
          <w:szCs w:val="18"/>
          <w:lang w:val="en-US"/>
        </w:rPr>
        <w:t xml:space="preserve">, </w:t>
      </w:r>
      <w:r w:rsidRPr="00CC6A6E">
        <w:rPr>
          <w:rFonts w:ascii="Palatino Linotype" w:hAnsi="Palatino Linotype"/>
          <w:i/>
          <w:iCs/>
          <w:sz w:val="18"/>
          <w:szCs w:val="18"/>
          <w:lang w:val="en-US"/>
        </w:rPr>
        <w:t>56</w:t>
      </w:r>
      <w:r w:rsidRPr="00CC6A6E">
        <w:rPr>
          <w:rFonts w:ascii="Palatino Linotype" w:hAnsi="Palatino Linotype"/>
          <w:sz w:val="18"/>
          <w:szCs w:val="18"/>
          <w:lang w:val="en-US"/>
        </w:rPr>
        <w:t xml:space="preserve">, 681–691. </w:t>
      </w:r>
      <w:hyperlink r:id="rId12" w:history="1">
        <w:r w:rsidRPr="00CC6A6E">
          <w:rPr>
            <w:rStyle w:val="Hyperlink"/>
            <w:rFonts w:ascii="Palatino Linotype" w:hAnsi="Palatino Linotype"/>
            <w:sz w:val="18"/>
            <w:szCs w:val="18"/>
            <w:lang w:val="en-US"/>
          </w:rPr>
          <w:t>https://doi.org/10.1387/ijdb.113473cp</w:t>
        </w:r>
      </w:hyperlink>
      <w:r w:rsidRPr="00CC6A6E">
        <w:rPr>
          <w:rFonts w:ascii="Palatino Linotype" w:hAnsi="Palatino Linotype"/>
          <w:sz w:val="18"/>
          <w:szCs w:val="18"/>
          <w:lang w:val="en-US"/>
        </w:rPr>
        <w:t>.</w:t>
      </w:r>
    </w:p>
    <w:p w14:paraId="2E045A28" w14:textId="77777777" w:rsidR="00CC6A6E" w:rsidRDefault="00CC6A6E" w:rsidP="00CC6A6E">
      <w:pPr>
        <w:pStyle w:val="ListParagraph"/>
        <w:numPr>
          <w:ilvl w:val="0"/>
          <w:numId w:val="7"/>
        </w:numPr>
        <w:spacing w:line="240" w:lineRule="auto"/>
        <w:jc w:val="both"/>
        <w:rPr>
          <w:rFonts w:ascii="Palatino Linotype" w:hAnsi="Palatino Linotype"/>
          <w:color w:val="000000"/>
          <w:sz w:val="18"/>
          <w:szCs w:val="18"/>
          <w:lang w:val="en-US"/>
        </w:rPr>
      </w:pPr>
      <w:r w:rsidRPr="00CC6A6E">
        <w:rPr>
          <w:rFonts w:ascii="Palatino Linotype" w:hAnsi="Palatino Linotype"/>
          <w:color w:val="000000"/>
          <w:sz w:val="18"/>
          <w:szCs w:val="18"/>
          <w:lang w:val="en-US"/>
        </w:rPr>
        <w:t xml:space="preserve">Bello, S. A.; Abreu-Irizarry, R. J.; García-Arrarás, J. E. Primary Cell Cultures of Regenerating Holothurian Tissues. In </w:t>
      </w:r>
      <w:r w:rsidRPr="00CC6A6E">
        <w:rPr>
          <w:rFonts w:ascii="Palatino Linotype" w:hAnsi="Palatino Linotype"/>
          <w:i/>
          <w:iCs/>
          <w:color w:val="000000"/>
          <w:sz w:val="18"/>
          <w:szCs w:val="18"/>
          <w:lang w:val="en-US"/>
        </w:rPr>
        <w:t>Tissue Morphogenesis</w:t>
      </w:r>
      <w:r w:rsidRPr="00CC6A6E">
        <w:rPr>
          <w:rFonts w:ascii="Palatino Linotype" w:hAnsi="Palatino Linotype"/>
          <w:color w:val="000000"/>
          <w:sz w:val="18"/>
          <w:szCs w:val="18"/>
          <w:lang w:val="en-US"/>
        </w:rPr>
        <w:t xml:space="preserve">; Nelson, C. M., Ed.; Springer New York: New York, NY, 2015; Volume 1189, pp 283–297. </w:t>
      </w:r>
      <w:hyperlink r:id="rId13" w:history="1">
        <w:r w:rsidRPr="00CC6A6E">
          <w:rPr>
            <w:rStyle w:val="Hyperlink"/>
            <w:rFonts w:ascii="Palatino Linotype" w:hAnsi="Palatino Linotype"/>
            <w:sz w:val="18"/>
            <w:szCs w:val="18"/>
            <w:lang w:val="en-US"/>
          </w:rPr>
          <w:t>https://doi.org/10.1007/978-1-4939-1164-6_19</w:t>
        </w:r>
      </w:hyperlink>
      <w:r w:rsidRPr="00CC6A6E">
        <w:rPr>
          <w:rFonts w:ascii="Palatino Linotype" w:hAnsi="Palatino Linotype"/>
          <w:color w:val="000000"/>
          <w:sz w:val="18"/>
          <w:szCs w:val="18"/>
          <w:lang w:val="en-US"/>
        </w:rPr>
        <w:t>.</w:t>
      </w:r>
    </w:p>
    <w:p w14:paraId="78037DB4" w14:textId="77777777" w:rsidR="00CC6A6E" w:rsidRPr="00CC6A6E" w:rsidRDefault="00CC6A6E" w:rsidP="00CC6A6E">
      <w:pPr>
        <w:pStyle w:val="ListParagraph"/>
        <w:numPr>
          <w:ilvl w:val="0"/>
          <w:numId w:val="11"/>
        </w:numPr>
        <w:spacing w:line="240" w:lineRule="auto"/>
        <w:ind w:left="360"/>
        <w:jc w:val="both"/>
        <w:rPr>
          <w:rFonts w:ascii="Palatino Linotype" w:hAnsi="Palatino Linotype"/>
          <w:color w:val="000000"/>
          <w:sz w:val="18"/>
          <w:szCs w:val="18"/>
          <w:lang w:val="en-US"/>
        </w:rPr>
      </w:pPr>
      <w:r w:rsidRPr="00CC6A6E">
        <w:rPr>
          <w:rFonts w:ascii="Palatino Linotype" w:hAnsi="Palatino Linotype"/>
          <w:i/>
          <w:iCs/>
          <w:color w:val="000000"/>
          <w:sz w:val="18"/>
          <w:szCs w:val="18"/>
          <w:lang w:val="en-US"/>
        </w:rPr>
        <w:t>In Vitro</w:t>
      </w:r>
      <w:r w:rsidRPr="00CC6A6E">
        <w:rPr>
          <w:rFonts w:ascii="Palatino Linotype" w:hAnsi="Palatino Linotype"/>
          <w:color w:val="000000"/>
          <w:sz w:val="18"/>
          <w:szCs w:val="18"/>
          <w:lang w:val="en-US"/>
        </w:rPr>
        <w:t xml:space="preserve"> Toxicology Assay Kit MTT based. Available online: h</w:t>
      </w:r>
      <w:hyperlink r:id="rId14" w:history="1">
        <w:r w:rsidRPr="00CC6A6E">
          <w:rPr>
            <w:rStyle w:val="Hyperlink"/>
            <w:rFonts w:ascii="Palatino Linotype" w:hAnsi="Palatino Linotype"/>
            <w:color w:val="000000"/>
            <w:sz w:val="18"/>
            <w:szCs w:val="18"/>
            <w:lang w:val="en-US"/>
          </w:rPr>
          <w:t>ttp://www.sigmaaldrich.com/content/dam/sigma-aldrich/docs/Sigma/Bulletin/tox1bul.pdf</w:t>
        </w:r>
      </w:hyperlink>
      <w:r w:rsidRPr="00CC6A6E">
        <w:rPr>
          <w:rFonts w:ascii="Palatino Linotype" w:hAnsi="Palatino Linotype"/>
          <w:color w:val="000000"/>
          <w:sz w:val="18"/>
          <w:szCs w:val="18"/>
          <w:lang w:val="en-US"/>
        </w:rPr>
        <w:t xml:space="preserve">. </w:t>
      </w:r>
      <w:r w:rsidRPr="00CC6A6E">
        <w:rPr>
          <w:rFonts w:ascii="Palatino Linotype" w:hAnsi="Palatino Linotype"/>
          <w:color w:val="000000"/>
          <w:sz w:val="18"/>
          <w:szCs w:val="18"/>
        </w:rPr>
        <w:t>(</w:t>
      </w:r>
      <w:proofErr w:type="spellStart"/>
      <w:r w:rsidRPr="00CC6A6E">
        <w:rPr>
          <w:rFonts w:ascii="Palatino Linotype" w:hAnsi="Palatino Linotype"/>
          <w:color w:val="000000"/>
          <w:sz w:val="18"/>
          <w:szCs w:val="18"/>
        </w:rPr>
        <w:t>accessed</w:t>
      </w:r>
      <w:proofErr w:type="spellEnd"/>
      <w:r w:rsidRPr="00CC6A6E">
        <w:rPr>
          <w:rFonts w:ascii="Palatino Linotype" w:hAnsi="Palatino Linotype"/>
          <w:color w:val="000000"/>
          <w:sz w:val="18"/>
          <w:szCs w:val="18"/>
        </w:rPr>
        <w:t xml:space="preserve"> </w:t>
      </w:r>
      <w:proofErr w:type="spellStart"/>
      <w:r w:rsidRPr="00CC6A6E">
        <w:rPr>
          <w:rFonts w:ascii="Palatino Linotype" w:hAnsi="Palatino Linotype"/>
          <w:color w:val="000000"/>
          <w:sz w:val="18"/>
          <w:szCs w:val="18"/>
        </w:rPr>
        <w:t>on</w:t>
      </w:r>
      <w:proofErr w:type="spellEnd"/>
      <w:r w:rsidRPr="00CC6A6E">
        <w:rPr>
          <w:rFonts w:ascii="Palatino Linotype" w:hAnsi="Palatino Linotype"/>
          <w:color w:val="000000"/>
          <w:sz w:val="18"/>
          <w:szCs w:val="18"/>
        </w:rPr>
        <w:t xml:space="preserve"> 25 </w:t>
      </w:r>
      <w:proofErr w:type="spellStart"/>
      <w:r w:rsidRPr="00CC6A6E">
        <w:rPr>
          <w:rFonts w:ascii="Palatino Linotype" w:hAnsi="Palatino Linotype"/>
          <w:color w:val="000000"/>
          <w:sz w:val="18"/>
          <w:szCs w:val="18"/>
        </w:rPr>
        <w:t>January</w:t>
      </w:r>
      <w:proofErr w:type="spellEnd"/>
      <w:r w:rsidRPr="00CC6A6E">
        <w:rPr>
          <w:rFonts w:ascii="Palatino Linotype" w:hAnsi="Palatino Linotype"/>
          <w:color w:val="000000"/>
          <w:sz w:val="18"/>
          <w:szCs w:val="18"/>
        </w:rPr>
        <w:t xml:space="preserve"> 2021).</w:t>
      </w:r>
    </w:p>
    <w:p w14:paraId="31B950EF" w14:textId="77777777" w:rsidR="00CC6A6E" w:rsidRPr="00E14765" w:rsidRDefault="00CC6A6E" w:rsidP="00A550FD">
      <w:pPr>
        <w:spacing w:after="240" w:line="360" w:lineRule="auto"/>
        <w:jc w:val="both"/>
        <w:rPr>
          <w:rFonts w:ascii="Palatino Linotype" w:eastAsia="Times New Roman" w:hAnsi="Palatino Linotype" w:cs="Times New Roman"/>
          <w:b/>
          <w:sz w:val="24"/>
          <w:szCs w:val="24"/>
          <w:lang w:val="en-US"/>
        </w:rPr>
      </w:pPr>
    </w:p>
    <w:p w14:paraId="082088D6" w14:textId="0A54FEB9" w:rsidR="00FA2C9F" w:rsidRPr="00F4777F" w:rsidRDefault="00FA2C9F">
      <w:pPr>
        <w:spacing w:line="240" w:lineRule="auto"/>
        <w:jc w:val="both"/>
        <w:rPr>
          <w:rFonts w:ascii="Palatino Linotype" w:eastAsia="Palatino Linotype" w:hAnsi="Palatino Linotype" w:cs="Palatino Linotype"/>
          <w:sz w:val="18"/>
          <w:szCs w:val="18"/>
          <w:lang w:val="en-US"/>
        </w:rPr>
      </w:pPr>
    </w:p>
    <w:sectPr w:rsidR="00FA2C9F" w:rsidRPr="00F4777F">
      <w:headerReference w:type="default" r:id="rId15"/>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2186F" w14:textId="77777777" w:rsidR="00A22C84" w:rsidRDefault="00A22C84">
      <w:pPr>
        <w:spacing w:line="240" w:lineRule="auto"/>
      </w:pPr>
      <w:r>
        <w:separator/>
      </w:r>
    </w:p>
  </w:endnote>
  <w:endnote w:type="continuationSeparator" w:id="0">
    <w:p w14:paraId="13BE17A3" w14:textId="77777777" w:rsidR="00A22C84" w:rsidRDefault="00A22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FAC5F" w14:textId="77777777" w:rsidR="00A22C84" w:rsidRDefault="00A22C84">
      <w:pPr>
        <w:spacing w:line="240" w:lineRule="auto"/>
      </w:pPr>
      <w:r>
        <w:separator/>
      </w:r>
    </w:p>
  </w:footnote>
  <w:footnote w:type="continuationSeparator" w:id="0">
    <w:p w14:paraId="146CB2D0" w14:textId="77777777" w:rsidR="00A22C84" w:rsidRDefault="00A22C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71CF0" w14:textId="77777777" w:rsidR="00ED2A4E" w:rsidRDefault="00ED2A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13B9"/>
    <w:multiLevelType w:val="hybridMultilevel"/>
    <w:tmpl w:val="322AF58A"/>
    <w:lvl w:ilvl="0" w:tplc="0409000F">
      <w:start w:val="75"/>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20186"/>
    <w:multiLevelType w:val="hybridMultilevel"/>
    <w:tmpl w:val="14D0C708"/>
    <w:lvl w:ilvl="0" w:tplc="08306232">
      <w:start w:val="78"/>
      <w:numFmt w:val="decimal"/>
      <w:lvlText w:val="%1."/>
      <w:lvlJc w:val="left"/>
      <w:pPr>
        <w:ind w:left="540" w:hanging="360"/>
      </w:pPr>
      <w:rPr>
        <w:rFonts w:hint="default"/>
        <w:i w:val="0"/>
        <w:iCs/>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7F20DE6"/>
    <w:multiLevelType w:val="multilevel"/>
    <w:tmpl w:val="DDD4B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3D396E"/>
    <w:multiLevelType w:val="multilevel"/>
    <w:tmpl w:val="EA5AF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EF17B3"/>
    <w:multiLevelType w:val="hybridMultilevel"/>
    <w:tmpl w:val="C16CF0F4"/>
    <w:lvl w:ilvl="0" w:tplc="0409000F">
      <w:start w:val="75"/>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8815DF"/>
    <w:multiLevelType w:val="hybridMultilevel"/>
    <w:tmpl w:val="474493C2"/>
    <w:lvl w:ilvl="0" w:tplc="EECC974E">
      <w:start w:val="75"/>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0D6CD1"/>
    <w:multiLevelType w:val="hybridMultilevel"/>
    <w:tmpl w:val="C46AA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81235"/>
    <w:multiLevelType w:val="hybridMultilevel"/>
    <w:tmpl w:val="9A342EB6"/>
    <w:lvl w:ilvl="0" w:tplc="770EDB34">
      <w:start w:val="76"/>
      <w:numFmt w:val="decimal"/>
      <w:lvlText w:val="%1."/>
      <w:lvlJc w:val="left"/>
      <w:pPr>
        <w:ind w:left="360" w:hanging="360"/>
      </w:pPr>
      <w:rPr>
        <w:rFonts w:hint="default"/>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B3159D"/>
    <w:multiLevelType w:val="hybridMultilevel"/>
    <w:tmpl w:val="BAF86FE8"/>
    <w:lvl w:ilvl="0" w:tplc="2C4CCF78">
      <w:start w:val="78"/>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0119F3"/>
    <w:multiLevelType w:val="multilevel"/>
    <w:tmpl w:val="6F2C5F6C"/>
    <w:lvl w:ilvl="0">
      <w:start w:val="1"/>
      <w:numFmt w:val="decimal"/>
      <w:lvlText w:val="%1."/>
      <w:lvlJc w:val="left"/>
      <w:pPr>
        <w:ind w:left="78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8204517"/>
    <w:multiLevelType w:val="hybridMultilevel"/>
    <w:tmpl w:val="4C26BC2C"/>
    <w:lvl w:ilvl="0" w:tplc="0409000F">
      <w:start w:val="7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0"/>
  </w:num>
  <w:num w:numId="4">
    <w:abstractNumId w:val="3"/>
  </w:num>
  <w:num w:numId="5">
    <w:abstractNumId w:val="5"/>
  </w:num>
  <w:num w:numId="6">
    <w:abstractNumId w:val="9"/>
  </w:num>
  <w:num w:numId="7">
    <w:abstractNumId w:val="7"/>
  </w:num>
  <w:num w:numId="8">
    <w:abstractNumId w:val="4"/>
  </w:num>
  <w:num w:numId="9">
    <w:abstractNumId w:val="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A4E"/>
    <w:rsid w:val="00080526"/>
    <w:rsid w:val="000B5B33"/>
    <w:rsid w:val="00187E05"/>
    <w:rsid w:val="00284AEB"/>
    <w:rsid w:val="002F4F0E"/>
    <w:rsid w:val="00320289"/>
    <w:rsid w:val="00381741"/>
    <w:rsid w:val="005841ED"/>
    <w:rsid w:val="00591EA3"/>
    <w:rsid w:val="005950FA"/>
    <w:rsid w:val="005A2C8F"/>
    <w:rsid w:val="00636F7D"/>
    <w:rsid w:val="00753260"/>
    <w:rsid w:val="007E574A"/>
    <w:rsid w:val="0083249A"/>
    <w:rsid w:val="008A0C6C"/>
    <w:rsid w:val="00916D10"/>
    <w:rsid w:val="00A22C84"/>
    <w:rsid w:val="00A343B7"/>
    <w:rsid w:val="00A550FD"/>
    <w:rsid w:val="00A90780"/>
    <w:rsid w:val="00AD13B4"/>
    <w:rsid w:val="00AD1E03"/>
    <w:rsid w:val="00B05538"/>
    <w:rsid w:val="00B32A05"/>
    <w:rsid w:val="00B4354A"/>
    <w:rsid w:val="00C505B5"/>
    <w:rsid w:val="00C73B7D"/>
    <w:rsid w:val="00C76C1E"/>
    <w:rsid w:val="00CC6A6E"/>
    <w:rsid w:val="00CE5971"/>
    <w:rsid w:val="00DD0CFC"/>
    <w:rsid w:val="00E14765"/>
    <w:rsid w:val="00EA4A61"/>
    <w:rsid w:val="00EA52F0"/>
    <w:rsid w:val="00ED2A4E"/>
    <w:rsid w:val="00F4777F"/>
    <w:rsid w:val="00F92D2C"/>
    <w:rsid w:val="00FA2C9F"/>
    <w:rsid w:val="00FD1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25220"/>
  <w15:docId w15:val="{08343B94-B143-4045-B583-549AC43CE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1"/>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2F4F0E"/>
    <w:rPr>
      <w:color w:val="0000FF" w:themeColor="hyperlink"/>
      <w:u w:val="single"/>
    </w:rPr>
  </w:style>
  <w:style w:type="character" w:styleId="UnresolvedMention">
    <w:name w:val="Unresolved Mention"/>
    <w:basedOn w:val="DefaultParagraphFont"/>
    <w:uiPriority w:val="99"/>
    <w:semiHidden/>
    <w:unhideWhenUsed/>
    <w:rsid w:val="002F4F0E"/>
    <w:rPr>
      <w:color w:val="605E5C"/>
      <w:shd w:val="clear" w:color="auto" w:fill="E1DFDD"/>
    </w:rPr>
  </w:style>
  <w:style w:type="paragraph" w:styleId="NormalWeb">
    <w:name w:val="Normal (Web)"/>
    <w:basedOn w:val="Normal"/>
    <w:uiPriority w:val="99"/>
    <w:semiHidden/>
    <w:unhideWhenUsed/>
    <w:rsid w:val="002F4F0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7E574A"/>
    <w:rPr>
      <w:color w:val="808080"/>
    </w:rPr>
  </w:style>
  <w:style w:type="paragraph" w:styleId="ListParagraph">
    <w:name w:val="List Paragraph"/>
    <w:basedOn w:val="Normal"/>
    <w:uiPriority w:val="34"/>
    <w:qFormat/>
    <w:rsid w:val="00080526"/>
    <w:pPr>
      <w:ind w:left="720"/>
      <w:contextualSpacing/>
    </w:pPr>
  </w:style>
  <w:style w:type="paragraph" w:customStyle="1" w:styleId="MDPI31text">
    <w:name w:val="MDPI_3.1_text"/>
    <w:qFormat/>
    <w:rsid w:val="00DD0CFC"/>
    <w:pPr>
      <w:adjustRightInd w:val="0"/>
      <w:snapToGrid w:val="0"/>
      <w:spacing w:line="228" w:lineRule="auto"/>
      <w:ind w:left="2608" w:firstLine="425"/>
      <w:jc w:val="both"/>
    </w:pPr>
    <w:rPr>
      <w:rFonts w:ascii="Palatino Linotype" w:eastAsia="Times New Roman" w:hAnsi="Palatino Linotype" w:cs="Times New Roman"/>
      <w:color w:val="000000"/>
      <w:sz w:val="20"/>
      <w:lang w:val="en-US" w:eastAsia="de-DE" w:bidi="en-US"/>
    </w:rPr>
  </w:style>
  <w:style w:type="paragraph" w:customStyle="1" w:styleId="MDPI39equation">
    <w:name w:val="MDPI_3.9_equation"/>
    <w:qFormat/>
    <w:rsid w:val="00DD0CFC"/>
    <w:pPr>
      <w:adjustRightInd w:val="0"/>
      <w:snapToGrid w:val="0"/>
      <w:spacing w:before="120" w:after="120" w:line="260" w:lineRule="atLeast"/>
      <w:ind w:left="709"/>
      <w:jc w:val="center"/>
    </w:pPr>
    <w:rPr>
      <w:rFonts w:ascii="Palatino Linotype" w:eastAsia="Times New Roman" w:hAnsi="Palatino Linotype" w:cs="Times New Roman"/>
      <w:color w:val="000000"/>
      <w:sz w:val="20"/>
      <w:lang w:val="en-US" w:eastAsia="de-DE" w:bidi="en-US"/>
    </w:rPr>
  </w:style>
  <w:style w:type="paragraph" w:customStyle="1" w:styleId="MDPI3aequationnumber">
    <w:name w:val="MDPI_3.a_equation_number"/>
    <w:qFormat/>
    <w:rsid w:val="00DD0CFC"/>
    <w:pPr>
      <w:snapToGrid w:val="0"/>
      <w:spacing w:before="120" w:after="120" w:line="240" w:lineRule="auto"/>
      <w:jc w:val="right"/>
    </w:pPr>
    <w:rPr>
      <w:rFonts w:ascii="Palatino Linotype" w:eastAsia="Times New Roman" w:hAnsi="Palatino Linotype" w:cs="Times New Roman"/>
      <w:color w:val="000000"/>
      <w:sz w:val="20"/>
      <w:lang w:val="en-US" w:eastAsia="de-DE" w:bidi="en-US"/>
    </w:rPr>
  </w:style>
  <w:style w:type="paragraph" w:customStyle="1" w:styleId="MDPI22heading2">
    <w:name w:val="MDPI_2.2_heading2"/>
    <w:qFormat/>
    <w:rsid w:val="00DD0CFC"/>
    <w:pPr>
      <w:adjustRightInd w:val="0"/>
      <w:snapToGrid w:val="0"/>
      <w:spacing w:before="60" w:after="60" w:line="228" w:lineRule="auto"/>
      <w:ind w:left="2608"/>
      <w:outlineLvl w:val="1"/>
    </w:pPr>
    <w:rPr>
      <w:rFonts w:ascii="Palatino Linotype" w:eastAsia="Times New Roman" w:hAnsi="Palatino Linotype" w:cs="Times New Roman"/>
      <w:i/>
      <w:noProof/>
      <w:color w:val="000000"/>
      <w:sz w:val="20"/>
      <w:lang w:val="en-US" w:eastAsia="de-DE" w:bidi="en-US"/>
    </w:rPr>
  </w:style>
  <w:style w:type="paragraph" w:customStyle="1" w:styleId="MDPI32textnoindent">
    <w:name w:val="MDPI_3.2_text_no_indent"/>
    <w:basedOn w:val="MDPI31text"/>
    <w:qFormat/>
    <w:rsid w:val="00DD0CFC"/>
    <w:pPr>
      <w:ind w:firstLine="0"/>
    </w:pPr>
  </w:style>
  <w:style w:type="paragraph" w:styleId="BalloonText">
    <w:name w:val="Balloon Text"/>
    <w:basedOn w:val="Normal"/>
    <w:link w:val="BalloonTextChar"/>
    <w:uiPriority w:val="99"/>
    <w:semiHidden/>
    <w:unhideWhenUsed/>
    <w:rsid w:val="00591EA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E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668262">
      <w:bodyDiv w:val="1"/>
      <w:marLeft w:val="0"/>
      <w:marRight w:val="0"/>
      <w:marTop w:val="0"/>
      <w:marBottom w:val="0"/>
      <w:divBdr>
        <w:top w:val="none" w:sz="0" w:space="0" w:color="auto"/>
        <w:left w:val="none" w:sz="0" w:space="0" w:color="auto"/>
        <w:bottom w:val="none" w:sz="0" w:space="0" w:color="auto"/>
        <w:right w:val="none" w:sz="0" w:space="0" w:color="auto"/>
      </w:divBdr>
    </w:div>
    <w:div w:id="1562407260">
      <w:bodyDiv w:val="1"/>
      <w:marLeft w:val="0"/>
      <w:marRight w:val="0"/>
      <w:marTop w:val="0"/>
      <w:marBottom w:val="0"/>
      <w:divBdr>
        <w:top w:val="none" w:sz="0" w:space="0" w:color="auto"/>
        <w:left w:val="none" w:sz="0" w:space="0" w:color="auto"/>
        <w:bottom w:val="none" w:sz="0" w:space="0" w:color="auto"/>
        <w:right w:val="none" w:sz="0" w:space="0" w:color="auto"/>
      </w:divBdr>
    </w:div>
    <w:div w:id="1967155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hyperlink" Target="https://doi.org/10.1007/978-1-4939-1164-6_19" TargetMode="Externa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hyperlink" Target="https://doi.org/10.1387/ijdb.113473c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6/dbio.2002.077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hyperlink" Target="http://www.sigmaaldrich.com/content/dam/sigma-aldrich/docs/Sigma/Bulletin/tox1bu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1326</Words>
  <Characters>7378</Characters>
  <Application>Microsoft Office Word</Application>
  <DocSecurity>0</DocSecurity>
  <Lines>174</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Lymarie</dc:creator>
  <cp:lastModifiedBy>MDPI</cp:lastModifiedBy>
  <cp:revision>2</cp:revision>
  <dcterms:created xsi:type="dcterms:W3CDTF">2021-03-26T07:49:00Z</dcterms:created>
  <dcterms:modified xsi:type="dcterms:W3CDTF">2021-03-26T07:49:00Z</dcterms:modified>
</cp:coreProperties>
</file>