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E605A" w:rsidRPr="000E605A" w:rsidRDefault="00AC54ED" w:rsidP="000E605A">
      <w:r w:rsidRPr="00AC54ED">
        <w:rPr>
          <w:noProof/>
          <w:lang w:eastAsia="es-ES"/>
        </w:rPr>
        <w:drawing>
          <wp:inline distT="0" distB="0" distL="0" distR="0">
            <wp:extent cx="5400040" cy="5459275"/>
            <wp:effectExtent l="0" t="0" r="0" b="825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545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605A" w:rsidRPr="009C5256" w:rsidRDefault="00D31DB5" w:rsidP="000E605A">
      <w:pPr>
        <w:pStyle w:val="HTMLconformatoprevio"/>
        <w:shd w:val="clear" w:color="auto" w:fill="FFFFFF"/>
        <w:jc w:val="both"/>
        <w:rPr>
          <w:rFonts w:ascii="Palatino Linotype" w:hAnsi="Palatino Linotype" w:cs="Calibri"/>
          <w:color w:val="000000"/>
          <w:sz w:val="18"/>
          <w:szCs w:val="18"/>
          <w:lang w:val="en-GB"/>
        </w:rPr>
      </w:pPr>
      <w:r>
        <w:rPr>
          <w:rFonts w:ascii="Palatino Linotype" w:hAnsi="Palatino Linotype" w:cs="Calibri"/>
          <w:b/>
          <w:color w:val="000000"/>
          <w:sz w:val="18"/>
          <w:szCs w:val="18"/>
          <w:lang w:val="en-GB"/>
        </w:rPr>
        <w:t>Figure S6</w:t>
      </w:r>
      <w:r w:rsidR="00FF07EC" w:rsidRPr="009C5256">
        <w:rPr>
          <w:rFonts w:ascii="Palatino Linotype" w:hAnsi="Palatino Linotype" w:cs="Calibri"/>
          <w:b/>
          <w:color w:val="000000"/>
          <w:sz w:val="18"/>
          <w:szCs w:val="18"/>
          <w:lang w:val="en-GB"/>
        </w:rPr>
        <w:t>.</w:t>
      </w:r>
      <w:r w:rsidR="00FF07EC" w:rsidRPr="009C5256">
        <w:rPr>
          <w:rFonts w:ascii="Palatino Linotype" w:hAnsi="Palatino Linotype" w:cs="Calibri"/>
          <w:color w:val="000000"/>
          <w:sz w:val="18"/>
          <w:szCs w:val="18"/>
          <w:lang w:val="en-GB"/>
        </w:rPr>
        <w:t xml:space="preserve"> </w:t>
      </w:r>
      <w:r w:rsidR="00F01B34" w:rsidRPr="00F01B34">
        <w:rPr>
          <w:rFonts w:ascii="Palatino Linotype" w:hAnsi="Palatino Linotype" w:cs="Calibri"/>
          <w:color w:val="000000"/>
          <w:sz w:val="18"/>
          <w:szCs w:val="18"/>
          <w:lang w:val="en-US"/>
        </w:rPr>
        <w:t xml:space="preserve">Multiple alignments of the amino acid sequence of the cell-associated amylase from </w:t>
      </w:r>
      <w:proofErr w:type="spellStart"/>
      <w:r w:rsidR="00F01B34" w:rsidRPr="00F01B34">
        <w:rPr>
          <w:rFonts w:ascii="Palatino Linotype" w:hAnsi="Palatino Linotype" w:cs="Calibri"/>
          <w:i/>
          <w:color w:val="000000"/>
          <w:sz w:val="18"/>
          <w:szCs w:val="18"/>
          <w:lang w:val="en-US"/>
        </w:rPr>
        <w:t>Haloarcula</w:t>
      </w:r>
      <w:proofErr w:type="spellEnd"/>
      <w:r w:rsidR="00F01B34" w:rsidRPr="00F01B34">
        <w:rPr>
          <w:rFonts w:ascii="Palatino Linotype" w:hAnsi="Palatino Linotype" w:cs="Calibri"/>
          <w:i/>
          <w:color w:val="000000"/>
          <w:sz w:val="18"/>
          <w:szCs w:val="18"/>
          <w:lang w:val="en-US"/>
        </w:rPr>
        <w:t xml:space="preserve"> </w:t>
      </w:r>
      <w:r w:rsidR="00F01B34" w:rsidRPr="00F01B34">
        <w:rPr>
          <w:rFonts w:ascii="Palatino Linotype" w:hAnsi="Palatino Linotype" w:cs="Calibri"/>
          <w:color w:val="000000"/>
          <w:sz w:val="18"/>
          <w:szCs w:val="18"/>
          <w:lang w:val="en-US"/>
        </w:rPr>
        <w:t>sp. HS (AMY_HS3)</w:t>
      </w:r>
      <w:r w:rsidR="00F01B34">
        <w:rPr>
          <w:rFonts w:ascii="Palatino Linotype" w:hAnsi="Palatino Linotype" w:cs="Calibri"/>
          <w:color w:val="000000"/>
          <w:sz w:val="18"/>
          <w:szCs w:val="18"/>
          <w:lang w:val="en-US"/>
        </w:rPr>
        <w:t xml:space="preserve"> </w:t>
      </w:r>
      <w:r w:rsidR="000E605A" w:rsidRPr="009C5256">
        <w:rPr>
          <w:rFonts w:ascii="Palatino Linotype" w:hAnsi="Palatino Linotype" w:cs="Calibri"/>
          <w:color w:val="000000"/>
          <w:sz w:val="18"/>
          <w:szCs w:val="18"/>
          <w:lang w:val="en-GB"/>
        </w:rPr>
        <w:t xml:space="preserve">with alpha-amylases from different haloarchaea. The sequences are ordered from the top to the bottom with </w:t>
      </w:r>
      <w:r w:rsidR="00393F1C">
        <w:rPr>
          <w:rFonts w:ascii="Palatino Linotype" w:hAnsi="Palatino Linotype" w:cs="Calibri"/>
          <w:color w:val="000000"/>
          <w:sz w:val="18"/>
          <w:szCs w:val="18"/>
          <w:lang w:val="en-GB"/>
        </w:rPr>
        <w:t xml:space="preserve">decreasing degree of identity: </w:t>
      </w:r>
      <w:proofErr w:type="spellStart"/>
      <w:r w:rsidR="000E605A" w:rsidRPr="009C5256">
        <w:rPr>
          <w:rFonts w:ascii="Palatino Linotype" w:hAnsi="Palatino Linotype" w:cs="Calibri"/>
          <w:i/>
          <w:color w:val="000000"/>
          <w:sz w:val="18"/>
          <w:szCs w:val="18"/>
          <w:lang w:val="en-GB"/>
        </w:rPr>
        <w:t>Haloarcula</w:t>
      </w:r>
      <w:proofErr w:type="spellEnd"/>
      <w:r w:rsidR="000E605A" w:rsidRPr="009C5256">
        <w:rPr>
          <w:rFonts w:ascii="Palatino Linotype" w:hAnsi="Palatino Linotype" w:cs="Calibri"/>
          <w:i/>
          <w:color w:val="000000"/>
          <w:sz w:val="18"/>
          <w:szCs w:val="18"/>
          <w:lang w:val="en-GB"/>
        </w:rPr>
        <w:t xml:space="preserve"> </w:t>
      </w:r>
      <w:proofErr w:type="spellStart"/>
      <w:r w:rsidR="000E605A" w:rsidRPr="009C5256">
        <w:rPr>
          <w:rFonts w:ascii="Palatino Linotype" w:hAnsi="Palatino Linotype" w:cs="Calibri"/>
          <w:i/>
          <w:color w:val="000000"/>
          <w:sz w:val="18"/>
          <w:szCs w:val="18"/>
          <w:lang w:val="en-GB"/>
        </w:rPr>
        <w:t>hispanica</w:t>
      </w:r>
      <w:proofErr w:type="spellEnd"/>
      <w:r w:rsidR="000E605A" w:rsidRPr="009C5256">
        <w:rPr>
          <w:rFonts w:ascii="Palatino Linotype" w:hAnsi="Palatino Linotype" w:cs="Calibri"/>
          <w:color w:val="000000"/>
          <w:sz w:val="18"/>
          <w:szCs w:val="18"/>
          <w:lang w:val="en-GB"/>
        </w:rPr>
        <w:t xml:space="preserve"> N601 (WP_023843400.1), </w:t>
      </w:r>
      <w:proofErr w:type="spellStart"/>
      <w:r w:rsidR="000E605A" w:rsidRPr="009C5256">
        <w:rPr>
          <w:rFonts w:ascii="Palatino Linotype" w:hAnsi="Palatino Linotype" w:cs="Calibri"/>
          <w:i/>
          <w:color w:val="000000"/>
          <w:sz w:val="18"/>
          <w:szCs w:val="18"/>
          <w:lang w:val="en-GB"/>
        </w:rPr>
        <w:t>Halomicroarcula</w:t>
      </w:r>
      <w:proofErr w:type="spellEnd"/>
      <w:r w:rsidR="000E605A" w:rsidRPr="009C5256">
        <w:rPr>
          <w:rFonts w:ascii="Palatino Linotype" w:hAnsi="Palatino Linotype" w:cs="Calibri"/>
          <w:i/>
          <w:color w:val="000000"/>
          <w:sz w:val="18"/>
          <w:szCs w:val="18"/>
          <w:lang w:val="en-GB"/>
        </w:rPr>
        <w:t xml:space="preserve"> </w:t>
      </w:r>
      <w:proofErr w:type="spellStart"/>
      <w:r w:rsidR="000E605A" w:rsidRPr="009C5256">
        <w:rPr>
          <w:rFonts w:ascii="Palatino Linotype" w:hAnsi="Palatino Linotype" w:cs="Calibri"/>
          <w:i/>
          <w:color w:val="000000"/>
          <w:sz w:val="18"/>
          <w:szCs w:val="18"/>
          <w:lang w:val="en-GB"/>
        </w:rPr>
        <w:t>salina</w:t>
      </w:r>
      <w:proofErr w:type="spellEnd"/>
      <w:r w:rsidR="000E605A" w:rsidRPr="009C5256">
        <w:rPr>
          <w:rFonts w:ascii="Palatino Linotype" w:hAnsi="Palatino Linotype" w:cs="Calibri"/>
          <w:i/>
          <w:color w:val="000000"/>
          <w:sz w:val="18"/>
          <w:szCs w:val="18"/>
          <w:lang w:val="en-GB"/>
        </w:rPr>
        <w:t xml:space="preserve"> </w:t>
      </w:r>
      <w:r w:rsidR="000E605A" w:rsidRPr="009C5256">
        <w:rPr>
          <w:rFonts w:ascii="Palatino Linotype" w:hAnsi="Palatino Linotype" w:cs="Calibri"/>
          <w:color w:val="000000"/>
          <w:sz w:val="18"/>
          <w:szCs w:val="18"/>
          <w:lang w:val="en-GB"/>
        </w:rPr>
        <w:t xml:space="preserve">(WP_162414602.1), </w:t>
      </w:r>
      <w:proofErr w:type="spellStart"/>
      <w:r w:rsidR="000E605A" w:rsidRPr="009C5256">
        <w:rPr>
          <w:rFonts w:ascii="Palatino Linotype" w:hAnsi="Palatino Linotype" w:cs="Calibri"/>
          <w:i/>
          <w:color w:val="000000"/>
          <w:sz w:val="18"/>
          <w:szCs w:val="18"/>
          <w:lang w:val="en-GB"/>
        </w:rPr>
        <w:t>Haloferax</w:t>
      </w:r>
      <w:proofErr w:type="spellEnd"/>
      <w:r w:rsidR="000E605A" w:rsidRPr="009C5256">
        <w:rPr>
          <w:rFonts w:ascii="Palatino Linotype" w:hAnsi="Palatino Linotype" w:cs="Calibri"/>
          <w:i/>
          <w:color w:val="000000"/>
          <w:sz w:val="18"/>
          <w:szCs w:val="18"/>
          <w:lang w:val="en-GB"/>
        </w:rPr>
        <w:t xml:space="preserve"> </w:t>
      </w:r>
      <w:proofErr w:type="spellStart"/>
      <w:r w:rsidR="000E605A" w:rsidRPr="009C5256">
        <w:rPr>
          <w:rFonts w:ascii="Palatino Linotype" w:hAnsi="Palatino Linotype" w:cs="Calibri"/>
          <w:i/>
          <w:color w:val="000000"/>
          <w:sz w:val="18"/>
          <w:szCs w:val="18"/>
          <w:lang w:val="en-GB"/>
        </w:rPr>
        <w:t>mediterranei</w:t>
      </w:r>
      <w:proofErr w:type="spellEnd"/>
      <w:r w:rsidR="000E605A" w:rsidRPr="009C5256">
        <w:rPr>
          <w:rFonts w:ascii="Palatino Linotype" w:hAnsi="Palatino Linotype" w:cs="Calibri"/>
          <w:color w:val="000000"/>
          <w:sz w:val="18"/>
          <w:szCs w:val="18"/>
          <w:lang w:val="en-GB"/>
        </w:rPr>
        <w:t xml:space="preserve"> (WP_004056521.1)</w:t>
      </w:r>
      <w:r>
        <w:rPr>
          <w:rFonts w:ascii="Palatino Linotype" w:hAnsi="Palatino Linotype" w:cs="Calibri"/>
          <w:color w:val="000000"/>
          <w:sz w:val="18"/>
          <w:szCs w:val="18"/>
          <w:lang w:val="en-GB"/>
        </w:rPr>
        <w:t>,</w:t>
      </w:r>
      <w:r w:rsidR="000E605A" w:rsidRPr="009C5256">
        <w:rPr>
          <w:rFonts w:ascii="Palatino Linotype" w:hAnsi="Palatino Linotype" w:cs="Calibri"/>
          <w:color w:val="000000"/>
          <w:sz w:val="18"/>
          <w:szCs w:val="18"/>
          <w:lang w:val="en-GB"/>
        </w:rPr>
        <w:t xml:space="preserve"> and </w:t>
      </w:r>
      <w:proofErr w:type="spellStart"/>
      <w:r w:rsidR="000E605A" w:rsidRPr="009C5256">
        <w:rPr>
          <w:rFonts w:ascii="Palatino Linotype" w:hAnsi="Palatino Linotype" w:cs="Calibri"/>
          <w:i/>
          <w:color w:val="000000"/>
          <w:sz w:val="18"/>
          <w:szCs w:val="18"/>
          <w:lang w:val="en-GB"/>
        </w:rPr>
        <w:t>Halogeometricum</w:t>
      </w:r>
      <w:proofErr w:type="spellEnd"/>
      <w:r w:rsidR="000E605A" w:rsidRPr="009C5256">
        <w:rPr>
          <w:rFonts w:ascii="Palatino Linotype" w:hAnsi="Palatino Linotype" w:cs="Calibri"/>
          <w:i/>
          <w:color w:val="000000"/>
          <w:sz w:val="18"/>
          <w:szCs w:val="18"/>
          <w:lang w:val="en-GB"/>
        </w:rPr>
        <w:t xml:space="preserve"> </w:t>
      </w:r>
      <w:proofErr w:type="spellStart"/>
      <w:r w:rsidR="000E605A" w:rsidRPr="009C5256">
        <w:rPr>
          <w:rFonts w:ascii="Palatino Linotype" w:hAnsi="Palatino Linotype" w:cs="Calibri"/>
          <w:i/>
          <w:color w:val="000000"/>
          <w:sz w:val="18"/>
          <w:szCs w:val="18"/>
          <w:lang w:val="en-GB"/>
        </w:rPr>
        <w:t>limi</w:t>
      </w:r>
      <w:proofErr w:type="spellEnd"/>
      <w:r w:rsidR="000E605A" w:rsidRPr="009C5256">
        <w:rPr>
          <w:rFonts w:ascii="Palatino Linotype" w:hAnsi="Palatino Linotype" w:cs="Calibri"/>
          <w:i/>
          <w:color w:val="000000"/>
          <w:sz w:val="18"/>
          <w:szCs w:val="18"/>
          <w:lang w:val="en-GB"/>
        </w:rPr>
        <w:t xml:space="preserve"> </w:t>
      </w:r>
      <w:r w:rsidR="000E605A" w:rsidRPr="009C5256">
        <w:rPr>
          <w:rFonts w:ascii="Palatino Linotype" w:hAnsi="Palatino Linotype" w:cs="Calibri"/>
          <w:color w:val="000000"/>
          <w:sz w:val="18"/>
          <w:szCs w:val="18"/>
          <w:lang w:val="en-GB"/>
        </w:rPr>
        <w:t>(WP_089883475.1). Purple stars highlight the catalytic triad (Asp-</w:t>
      </w:r>
      <w:proofErr w:type="spellStart"/>
      <w:r w:rsidR="000E605A" w:rsidRPr="009C5256">
        <w:rPr>
          <w:rFonts w:ascii="Palatino Linotype" w:hAnsi="Palatino Linotype" w:cs="Calibri"/>
          <w:color w:val="000000"/>
          <w:sz w:val="18"/>
          <w:szCs w:val="18"/>
          <w:lang w:val="en-GB"/>
        </w:rPr>
        <w:t>Glu</w:t>
      </w:r>
      <w:proofErr w:type="spellEnd"/>
      <w:r w:rsidR="000E605A" w:rsidRPr="009C5256">
        <w:rPr>
          <w:rFonts w:ascii="Palatino Linotype" w:hAnsi="Palatino Linotype" w:cs="Calibri"/>
          <w:color w:val="000000"/>
          <w:sz w:val="18"/>
          <w:szCs w:val="18"/>
          <w:lang w:val="en-GB"/>
        </w:rPr>
        <w:t>-Asp), blue sta</w:t>
      </w:r>
      <w:r>
        <w:rPr>
          <w:rFonts w:ascii="Palatino Linotype" w:hAnsi="Palatino Linotype" w:cs="Calibri"/>
          <w:color w:val="000000"/>
          <w:sz w:val="18"/>
          <w:szCs w:val="18"/>
          <w:lang w:val="en-GB"/>
        </w:rPr>
        <w:t>r denotes the canonical calcium-</w:t>
      </w:r>
      <w:r w:rsidR="000E605A" w:rsidRPr="009C5256">
        <w:rPr>
          <w:rFonts w:ascii="Palatino Linotype" w:hAnsi="Palatino Linotype" w:cs="Calibri"/>
          <w:color w:val="000000"/>
          <w:sz w:val="18"/>
          <w:szCs w:val="18"/>
          <w:lang w:val="en-GB"/>
        </w:rPr>
        <w:t xml:space="preserve">binding site and black stars point other essential residues for enzyme structure.  </w:t>
      </w:r>
      <w:r w:rsidR="000E605A" w:rsidRPr="009C5256">
        <w:rPr>
          <w:rFonts w:ascii="Palatino Linotype" w:hAnsi="Palatino Linotype" w:cstheme="minorHAnsi"/>
          <w:color w:val="000000"/>
          <w:sz w:val="18"/>
          <w:szCs w:val="18"/>
          <w:lang w:val="en-GB"/>
        </w:rPr>
        <w:t>The gradient from red to white in the background indicates the degree of conservation, with white 100%. Secondary structures, helixes</w:t>
      </w:r>
      <w:r>
        <w:rPr>
          <w:rFonts w:ascii="Palatino Linotype" w:hAnsi="Palatino Linotype" w:cstheme="minorHAnsi"/>
          <w:color w:val="000000"/>
          <w:sz w:val="18"/>
          <w:szCs w:val="18"/>
          <w:lang w:val="en-GB"/>
        </w:rPr>
        <w:t>,</w:t>
      </w:r>
      <w:bookmarkStart w:id="0" w:name="_GoBack"/>
      <w:bookmarkEnd w:id="0"/>
      <w:r w:rsidR="000E605A" w:rsidRPr="009C5256">
        <w:rPr>
          <w:rFonts w:ascii="Palatino Linotype" w:hAnsi="Palatino Linotype" w:cstheme="minorHAnsi"/>
          <w:color w:val="000000"/>
          <w:sz w:val="18"/>
          <w:szCs w:val="18"/>
          <w:lang w:val="en-GB"/>
        </w:rPr>
        <w:t xml:space="preserve"> and strands are denoted by </w:t>
      </w:r>
      <w:r w:rsidR="00AC54ED" w:rsidRPr="009C5256">
        <w:rPr>
          <w:rFonts w:ascii="Palatino Linotype" w:hAnsi="Palatino Linotype" w:cstheme="minorHAnsi"/>
          <w:color w:val="000000"/>
          <w:sz w:val="18"/>
          <w:szCs w:val="18"/>
          <w:lang w:val="en-GB"/>
        </w:rPr>
        <w:t>blue and red</w:t>
      </w:r>
      <w:r w:rsidR="000E605A" w:rsidRPr="009C5256">
        <w:rPr>
          <w:rFonts w:ascii="Palatino Linotype" w:hAnsi="Palatino Linotype" w:cstheme="minorHAnsi"/>
          <w:color w:val="000000"/>
          <w:sz w:val="18"/>
          <w:szCs w:val="18"/>
          <w:lang w:val="en-GB"/>
        </w:rPr>
        <w:t xml:space="preserve"> boxes, respectively, matching with the 3D protein models shown in Figure 8.  </w:t>
      </w:r>
    </w:p>
    <w:p w:rsidR="000E605A" w:rsidRPr="000E605A" w:rsidRDefault="000E605A">
      <w:pPr>
        <w:rPr>
          <w:lang w:val="en-GB"/>
        </w:rPr>
      </w:pPr>
    </w:p>
    <w:sectPr w:rsidR="000E605A" w:rsidRPr="000E605A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04FB7"/>
    <w:rsid w:val="000E605A"/>
    <w:rsid w:val="00304FB7"/>
    <w:rsid w:val="00336E4D"/>
    <w:rsid w:val="00393F1C"/>
    <w:rsid w:val="009C5256"/>
    <w:rsid w:val="00AC54ED"/>
    <w:rsid w:val="00D31DB5"/>
    <w:rsid w:val="00F01B34"/>
    <w:rsid w:val="00FE476B"/>
    <w:rsid w:val="00FF07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B5CA1C"/>
  <w15:chartTrackingRefBased/>
  <w15:docId w15:val="{0AC91E82-FCF0-4102-AD01-6DE5F31F2A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HTMLconformatoprevio">
    <w:name w:val="HTML Preformatted"/>
    <w:basedOn w:val="Normal"/>
    <w:link w:val="HTMLconformatoprevioCar"/>
    <w:uiPriority w:val="99"/>
    <w:unhideWhenUsed/>
    <w:rsid w:val="000E605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es-ES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rsid w:val="000E605A"/>
    <w:rPr>
      <w:rFonts w:ascii="Courier New" w:eastAsia="Times New Roman" w:hAnsi="Courier New" w:cs="Courier New"/>
      <w:sz w:val="20"/>
      <w:szCs w:val="20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133</Words>
  <Characters>732</Characters>
  <Application>Microsoft Office Word</Application>
  <DocSecurity>0</DocSecurity>
  <Lines>6</Lines>
  <Paragraphs>1</Paragraphs>
  <ScaleCrop>false</ScaleCrop>
  <Company/>
  <LinksUpToDate>false</LinksUpToDate>
  <CharactersWithSpaces>864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</dc:creator>
  <cp:keywords/>
  <dc:description/>
  <cp:lastModifiedBy>Patricia</cp:lastModifiedBy>
  <cp:revision>10</cp:revision>
  <dcterms:created xsi:type="dcterms:W3CDTF">2021-02-15T20:37:00Z</dcterms:created>
  <dcterms:modified xsi:type="dcterms:W3CDTF">2021-03-31T17:42:00Z</dcterms:modified>
</cp:coreProperties>
</file>