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0"/>
          <w:szCs w:val="20"/>
        </w:rPr>
      </w:pPr>
      <w:r>
        <w:fldChar w:fldCharType="begin"/>
      </w:r>
      <w:r>
        <w:instrText xml:space="preserve"> HYPERLINK "javascript:;" </w:instrText>
      </w:r>
      <w:r>
        <w:fldChar w:fldCharType="separate"/>
      </w:r>
      <w:r>
        <w:rPr>
          <w:rFonts w:hint="eastAsia" w:ascii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upplement</w:t>
      </w:r>
      <w:r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>
        <w:rPr>
          <w:rFonts w:hint="eastAsia" w:ascii="Times New Roman" w:hAnsi="Times New Roman" w:cs="Times New Roman"/>
          <w:b/>
          <w:bCs/>
          <w:sz w:val="20"/>
          <w:szCs w:val="20"/>
        </w:rPr>
        <w:t xml:space="preserve">al Figure 1. </w:t>
      </w:r>
      <w:r>
        <w:rPr>
          <w:rFonts w:ascii="Times New Roman" w:hAnsi="Times New Roman" w:cs="Times New Roman"/>
          <w:b/>
          <w:bCs/>
          <w:sz w:val="20"/>
          <w:szCs w:val="20"/>
        </w:rPr>
        <w:t>The interaction of hub</w:t>
      </w:r>
      <w:r>
        <w:rPr>
          <w:rFonts w:hint="eastAsia" w:ascii="Times New Roman" w:hAnsi="Times New Roman" w:cs="Times New Roman"/>
          <w:b/>
          <w:bCs/>
          <w:sz w:val="20"/>
          <w:szCs w:val="20"/>
        </w:rPr>
        <w:t xml:space="preserve"> </w:t>
      </w:r>
      <w:bookmarkStart w:id="0" w:name="OLE_LINK54"/>
      <w:r>
        <w:rPr>
          <w:rFonts w:hint="eastAsia" w:ascii="Times New Roman" w:hAnsi="Times New Roman" w:cs="Times New Roman"/>
          <w:b/>
          <w:bCs/>
          <w:sz w:val="20"/>
          <w:szCs w:val="20"/>
        </w:rPr>
        <w:t>transcription factors</w:t>
      </w:r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hint="eastAsia" w:ascii="Times New Roman" w:hAnsi="Times New Roman" w:cs="Times New Roman"/>
          <w:b/>
          <w:bCs/>
          <w:sz w:val="20"/>
          <w:szCs w:val="20"/>
        </w:rPr>
        <w:t xml:space="preserve">and transcription cofactors in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the </w:t>
      </w:r>
      <w:r>
        <w:rPr>
          <w:rFonts w:hint="eastAsia" w:ascii="Times New Roman" w:hAnsi="Times New Roman" w:cs="Times New Roman"/>
          <w:b/>
          <w:bCs/>
          <w:sz w:val="20"/>
          <w:szCs w:val="20"/>
        </w:rPr>
        <w:t>tubulointerstitium and glomeruli.</w:t>
      </w:r>
      <w:r>
        <w:rPr>
          <w:rFonts w:hint="eastAsia" w:ascii="Times New Roman" w:hAnsi="Times New Roman" w:cs="Times New Roman"/>
          <w:sz w:val="20"/>
          <w:szCs w:val="20"/>
        </w:rPr>
        <w:t xml:space="preserve"> A. The redder the color, the higher the degree through modules cytohHubba for sorting top hub genes.</w:t>
      </w: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  <w:r>
        <w:drawing>
          <wp:inline distT="0" distB="0" distL="114300" distR="114300">
            <wp:extent cx="4427855" cy="3617595"/>
            <wp:effectExtent l="0" t="0" r="4445" b="1905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7855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rPr>
          <w:rFonts w:ascii="Times New Roman" w:hAnsi="Times New Roman" w:cs="Times New Roman"/>
          <w:sz w:val="20"/>
          <w:szCs w:val="20"/>
        </w:rPr>
      </w:pPr>
      <w:r>
        <w:fldChar w:fldCharType="begin"/>
      </w:r>
      <w:r>
        <w:instrText xml:space="preserve"> HYPERLINK "javascript:;" </w:instrText>
      </w:r>
      <w:r>
        <w:fldChar w:fldCharType="separate"/>
      </w:r>
      <w:r>
        <w:rPr>
          <w:rFonts w:hint="eastAsia" w:ascii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upplement</w:t>
      </w:r>
      <w:r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>
        <w:rPr>
          <w:rFonts w:hint="eastAsia" w:ascii="Times New Roman" w:hAnsi="Times New Roman" w:cs="Times New Roman"/>
          <w:b/>
          <w:bCs/>
          <w:sz w:val="20"/>
          <w:szCs w:val="20"/>
        </w:rPr>
        <w:t xml:space="preserve">al Figure 2. </w:t>
      </w:r>
      <w:bookmarkStart w:id="1" w:name="OLE_LINK51"/>
      <w:r>
        <w:rPr>
          <w:rFonts w:ascii="Times New Roman" w:hAnsi="Times New Roman" w:cs="Times New Roman"/>
          <w:b/>
          <w:bCs/>
          <w:sz w:val="20"/>
          <w:szCs w:val="20"/>
        </w:rPr>
        <w:t xml:space="preserve">ROC curve of DETFGs in GSE32591.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b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) The ROC curve</w:t>
      </w:r>
      <w:r>
        <w:rPr>
          <w:rFonts w:hint="eastAsia" w:ascii="Times New Roman" w:hAnsi="Times New Roman" w:cs="Times New Roman"/>
          <w:sz w:val="20"/>
          <w:szCs w:val="20"/>
        </w:rPr>
        <w:t xml:space="preserve"> and AUC </w:t>
      </w:r>
      <w:r>
        <w:rPr>
          <w:rFonts w:ascii="Times New Roman" w:hAnsi="Times New Roman" w:cs="Times New Roman"/>
          <w:sz w:val="20"/>
          <w:szCs w:val="20"/>
        </w:rPr>
        <w:t xml:space="preserve">of </w:t>
      </w:r>
      <w:r>
        <w:rPr>
          <w:rFonts w:hint="eastAsia" w:ascii="Times New Roman" w:hAnsi="Times New Roman" w:cs="Times New Roman"/>
          <w:sz w:val="20"/>
          <w:szCs w:val="20"/>
        </w:rPr>
        <w:t>transcription factors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hint="eastAsia" w:ascii="Times New Roman" w:hAnsi="Times New Roman" w:cs="Times New Roman"/>
          <w:sz w:val="20"/>
          <w:szCs w:val="20"/>
        </w:rPr>
        <w:t xml:space="preserve">in </w:t>
      </w:r>
      <w:r>
        <w:rPr>
          <w:rFonts w:ascii="Times New Roman" w:hAnsi="Times New Roman" w:cs="Times New Roman"/>
          <w:sz w:val="20"/>
          <w:szCs w:val="20"/>
        </w:rPr>
        <w:t xml:space="preserve">the </w:t>
      </w:r>
      <w:r>
        <w:rPr>
          <w:rFonts w:hint="eastAsia" w:ascii="Times New Roman" w:hAnsi="Times New Roman" w:cs="Times New Roman"/>
          <w:sz w:val="20"/>
          <w:szCs w:val="20"/>
        </w:rPr>
        <w:t xml:space="preserve">tubulointerstitium.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b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>) The ROC curve</w:t>
      </w:r>
      <w:r>
        <w:rPr>
          <w:rFonts w:hint="eastAsia" w:ascii="Times New Roman" w:hAnsi="Times New Roman" w:cs="Times New Roman"/>
          <w:sz w:val="20"/>
          <w:szCs w:val="20"/>
        </w:rPr>
        <w:t xml:space="preserve"> and AUC </w:t>
      </w:r>
      <w:r>
        <w:rPr>
          <w:rFonts w:ascii="Times New Roman" w:hAnsi="Times New Roman" w:cs="Times New Roman"/>
          <w:sz w:val="20"/>
          <w:szCs w:val="20"/>
        </w:rPr>
        <w:t xml:space="preserve">of </w:t>
      </w:r>
      <w:r>
        <w:rPr>
          <w:rFonts w:hint="eastAsia" w:ascii="Times New Roman" w:hAnsi="Times New Roman" w:cs="Times New Roman"/>
          <w:sz w:val="20"/>
          <w:szCs w:val="20"/>
        </w:rPr>
        <w:t>transcription factors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hint="eastAsia" w:ascii="Times New Roman" w:hAnsi="Times New Roman" w:cs="Times New Roman"/>
          <w:sz w:val="20"/>
          <w:szCs w:val="20"/>
        </w:rPr>
        <w:t xml:space="preserve">in </w:t>
      </w:r>
      <w:r>
        <w:rPr>
          <w:rFonts w:ascii="Times New Roman" w:hAnsi="Times New Roman" w:cs="Times New Roman"/>
          <w:sz w:val="20"/>
          <w:szCs w:val="20"/>
        </w:rPr>
        <w:t>the glomeruli</w:t>
      </w:r>
      <w:r>
        <w:rPr>
          <w:rFonts w:hint="eastAsia" w:ascii="Times New Roman" w:hAnsi="Times New Roman" w:cs="Times New Roman"/>
          <w:sz w:val="20"/>
          <w:szCs w:val="20"/>
        </w:rPr>
        <w:t>.</w:t>
      </w:r>
    </w:p>
    <w:bookmarkEnd w:id="1"/>
    <w:p>
      <w:pPr>
        <w:rPr>
          <w:rFonts w:ascii="Times New Roman" w:hAnsi="Times New Roman" w:cs="Times New Roman"/>
          <w:sz w:val="20"/>
          <w:szCs w:val="20"/>
        </w:rPr>
      </w:pPr>
      <w:r>
        <w:drawing>
          <wp:inline distT="0" distB="0" distL="114300" distR="114300">
            <wp:extent cx="4384675" cy="5302250"/>
            <wp:effectExtent l="0" t="0" r="3175" b="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4675" cy="530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xMjRkOWIwNTc5YWVjOTVhZTNkODBlMDRiMThjNmMifQ=="/>
  </w:docVars>
  <w:rsids>
    <w:rsidRoot w:val="79EA64B7"/>
    <w:rsid w:val="79EA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2022-12-15T15:53:00Z</dcterms:created>
  <dc:creator>王萱</dc:creator>
  <cp:lastModifiedBy>王萱</cp:lastModifiedBy>
  <dcterms:modified xsi:type="dcterms:W3CDTF">2022-12-15T15:57:56Z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900BA9421EC84EDCA7ADD7C6B7D89128</vt:lpwstr>
  </property>
</Properties>
</file>