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67B98" w:rsidRDefault="00E20B56" w:rsidP="00B67B98">
      <w:pPr>
        <w:pStyle w:val="NormalWeb"/>
        <w:spacing w:after="284" w:line="360" w:lineRule="auto"/>
        <w:jc w:val="center"/>
        <w:rPr>
          <w:lang w:val="en-US"/>
        </w:rPr>
      </w:pPr>
      <w:r w:rsidRPr="004F2F95">
        <w:rPr>
          <w:snapToGrid w:val="0"/>
          <w:sz w:val="44"/>
          <w:szCs w:val="20"/>
          <w:lang w:val="en-US"/>
        </w:rPr>
        <w:t>Devising mineral resource supply pathways for a decarboning electricity generation to 2100</w:t>
      </w:r>
    </w:p>
    <w:p w:rsidR="00B67B98" w:rsidRPr="004F2F95" w:rsidRDefault="00B67B98" w:rsidP="00B67B98">
      <w:pPr>
        <w:pStyle w:val="NormalWeb"/>
        <w:spacing w:after="284" w:line="360" w:lineRule="auto"/>
        <w:jc w:val="center"/>
        <w:rPr>
          <w:lang w:val="en-US"/>
        </w:rPr>
      </w:pPr>
      <w:r w:rsidRPr="004F2F95">
        <w:rPr>
          <w:lang w:val="en-US"/>
        </w:rPr>
        <w:t xml:space="preserve">– </w:t>
      </w:r>
    </w:p>
    <w:p w:rsidR="00B67B98" w:rsidRPr="004F2F95" w:rsidRDefault="00B67B98" w:rsidP="00B67B98">
      <w:pPr>
        <w:pStyle w:val="NormalWeb"/>
        <w:spacing w:after="284" w:line="360" w:lineRule="auto"/>
        <w:jc w:val="center"/>
        <w:rPr>
          <w:lang w:val="en-US"/>
        </w:rPr>
      </w:pPr>
      <w:r w:rsidRPr="004F2F95">
        <w:rPr>
          <w:sz w:val="44"/>
          <w:szCs w:val="44"/>
          <w:lang w:val="en-US"/>
        </w:rPr>
        <w:t>Supplementary material</w:t>
      </w:r>
    </w:p>
    <w:p w:rsidR="00B67B98" w:rsidRPr="004F2F95" w:rsidRDefault="00B67B98" w:rsidP="00B67B98">
      <w:pPr>
        <w:pStyle w:val="NormalWeb"/>
        <w:spacing w:after="0" w:line="480" w:lineRule="auto"/>
        <w:rPr>
          <w:lang w:val="en-US"/>
        </w:rPr>
      </w:pPr>
    </w:p>
    <w:p w:rsidR="00B67B98" w:rsidRPr="004F2F95" w:rsidRDefault="00B67B98" w:rsidP="00B67B98">
      <w:pPr>
        <w:pStyle w:val="NormalWeb"/>
        <w:spacing w:after="0" w:line="480" w:lineRule="auto"/>
        <w:rPr>
          <w:lang w:val="en-US"/>
        </w:rPr>
      </w:pPr>
      <w:r w:rsidRPr="004F2F95">
        <w:rPr>
          <w:lang w:val="en-US"/>
        </w:rPr>
        <w:t>Antoine BOUBAULT, Nadia MAÏZI</w:t>
      </w:r>
    </w:p>
    <w:p w:rsidR="00B67B98" w:rsidRPr="004F2F95" w:rsidRDefault="00B67B98" w:rsidP="00B67B98">
      <w:pPr>
        <w:pStyle w:val="NormalWeb"/>
        <w:spacing w:after="0" w:line="480" w:lineRule="auto"/>
        <w:rPr>
          <w:lang w:val="en-US"/>
        </w:rPr>
      </w:pPr>
      <w:r w:rsidRPr="004F2F95">
        <w:rPr>
          <w:lang w:val="en-US"/>
        </w:rPr>
        <w:t>antoine.boubault@mines-paristech.fr</w:t>
      </w:r>
    </w:p>
    <w:p w:rsidR="00B67B98" w:rsidRPr="004F2F95" w:rsidRDefault="00B67B98" w:rsidP="00B67B98">
      <w:pPr>
        <w:pStyle w:val="NormalWeb"/>
        <w:spacing w:after="0"/>
        <w:rPr>
          <w:lang w:val="en-US"/>
        </w:rPr>
      </w:pPr>
    </w:p>
    <w:p w:rsidR="00B67B98" w:rsidRPr="004F2F95" w:rsidRDefault="00B67B98" w:rsidP="00B67B98">
      <w:pPr>
        <w:pStyle w:val="NormalWeb"/>
        <w:spacing w:after="0"/>
        <w:rPr>
          <w:lang w:val="en-US"/>
        </w:rPr>
      </w:pPr>
    </w:p>
    <w:p w:rsidR="00B67B98" w:rsidRPr="004F2F95" w:rsidRDefault="00E20B56" w:rsidP="00B67B98">
      <w:pPr>
        <w:pStyle w:val="NormalWeb"/>
        <w:pageBreakBefore/>
        <w:spacing w:before="454" w:beforeAutospacing="0" w:after="0" w:line="480" w:lineRule="auto"/>
        <w:rPr>
          <w:lang w:val="en-US"/>
        </w:rPr>
      </w:pPr>
      <w:r w:rsidRPr="004F2F95">
        <w:rPr>
          <w:b/>
          <w:bCs/>
          <w:lang w:val="en-US"/>
        </w:rPr>
        <w:lastRenderedPageBreak/>
        <w:t xml:space="preserve">1. </w:t>
      </w:r>
      <w:r w:rsidR="00B67B98" w:rsidRPr="004F2F95">
        <w:rPr>
          <w:b/>
          <w:bCs/>
          <w:lang w:val="en-US"/>
        </w:rPr>
        <w:t>SSP2: baseline and 2°C scenarios</w:t>
      </w:r>
    </w:p>
    <w:p w:rsidR="00B67B98" w:rsidRPr="004F2F95" w:rsidRDefault="00B67B98" w:rsidP="00B67B98">
      <w:pPr>
        <w:pStyle w:val="NormalWeb"/>
        <w:spacing w:after="0" w:line="480" w:lineRule="auto"/>
        <w:rPr>
          <w:lang w:val="en-US"/>
        </w:rPr>
      </w:pPr>
      <w:r w:rsidRPr="004F2F95">
        <w:rPr>
          <w:lang w:val="en-US"/>
        </w:rPr>
        <w:t>Figure S1 shows the evolution of the GHG emissions in the baseline and 2°C scenarios. GHGs increase from 41 Gt CO</w:t>
      </w:r>
      <w:r w:rsidRPr="004F2F95">
        <w:rPr>
          <w:vertAlign w:val="subscript"/>
          <w:lang w:val="en-US"/>
        </w:rPr>
        <w:t>2,eq</w:t>
      </w:r>
      <w:r w:rsidRPr="004F2F95">
        <w:rPr>
          <w:lang w:val="en-US"/>
        </w:rPr>
        <w:t xml:space="preserve"> in 2010 to 78 Gt CO</w:t>
      </w:r>
      <w:r w:rsidRPr="004F2F95">
        <w:rPr>
          <w:vertAlign w:val="subscript"/>
          <w:lang w:val="en-US"/>
        </w:rPr>
        <w:t>2,eq</w:t>
      </w:r>
      <w:r w:rsidRPr="004F2F95">
        <w:rPr>
          <w:lang w:val="en-US"/>
        </w:rPr>
        <w:t xml:space="preserve"> by 2100 in the baseline scenario, whereas they decrease to 5 Gt CO</w:t>
      </w:r>
      <w:r w:rsidRPr="004F2F95">
        <w:rPr>
          <w:vertAlign w:val="subscript"/>
          <w:lang w:val="en-US"/>
        </w:rPr>
        <w:t>2,eq</w:t>
      </w:r>
      <w:r w:rsidRPr="004F2F95">
        <w:rPr>
          <w:lang w:val="en-US"/>
        </w:rPr>
        <w:t xml:space="preserve"> by 2070 and reach 10 Gt CO</w:t>
      </w:r>
      <w:r w:rsidRPr="004F2F95">
        <w:rPr>
          <w:vertAlign w:val="subscript"/>
          <w:lang w:val="en-US"/>
        </w:rPr>
        <w:t>2,eq</w:t>
      </w:r>
      <w:r w:rsidRPr="004F2F95">
        <w:rPr>
          <w:lang w:val="en-US"/>
        </w:rPr>
        <w:t xml:space="preserve">by 2100 in the 2°C scenario. </w:t>
      </w:r>
      <w:r w:rsidR="004F2F95" w:rsidRPr="004F2F95">
        <w:rPr>
          <w:lang w:val="en-US"/>
        </w:rPr>
        <w:t>Figure S1</w:t>
      </w:r>
      <w:r w:rsidR="004F2F95">
        <w:rPr>
          <w:lang w:val="en-US"/>
        </w:rPr>
        <w:t xml:space="preserve"> shows </w:t>
      </w:r>
      <w:r w:rsidRPr="004F2F95">
        <w:rPr>
          <w:lang w:val="en-US"/>
        </w:rPr>
        <w:t>GHG emissions in both scenarios.</w:t>
      </w:r>
    </w:p>
    <w:p w:rsidR="00B67B98" w:rsidRDefault="00B67B98" w:rsidP="00B67B98">
      <w:pPr>
        <w:pStyle w:val="NormalWeb"/>
        <w:spacing w:after="0" w:line="480" w:lineRule="auto"/>
      </w:pPr>
      <w:r w:rsidRPr="00B67B98">
        <w:rPr>
          <w:noProof/>
        </w:rPr>
        <w:drawing>
          <wp:inline distT="0" distB="0" distL="0" distR="0" wp14:anchorId="6971B017" wp14:editId="669A6364">
            <wp:extent cx="5972810" cy="39008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
                    <a:stretch>
                      <a:fillRect/>
                    </a:stretch>
                  </pic:blipFill>
                  <pic:spPr>
                    <a:xfrm>
                      <a:off x="0" y="0"/>
                      <a:ext cx="5972810" cy="3900805"/>
                    </a:xfrm>
                    <a:prstGeom prst="rect">
                      <a:avLst/>
                    </a:prstGeom>
                  </pic:spPr>
                </pic:pic>
              </a:graphicData>
            </a:graphic>
          </wp:inline>
        </w:drawing>
      </w:r>
    </w:p>
    <w:p w:rsidR="00B67B98" w:rsidRPr="004F2F95" w:rsidRDefault="00B67B98" w:rsidP="00B67B98">
      <w:pPr>
        <w:pStyle w:val="NormalWeb"/>
        <w:spacing w:before="119" w:beforeAutospacing="0"/>
        <w:jc w:val="center"/>
        <w:rPr>
          <w:lang w:val="en-US"/>
        </w:rPr>
      </w:pPr>
      <w:r w:rsidRPr="004F2F95">
        <w:rPr>
          <w:i/>
          <w:iCs/>
          <w:lang w:val="en-US"/>
        </w:rPr>
        <w:t>Figure S1. Global anthropogenic GHG emissions in the baseline and 2°C scenarios</w:t>
      </w:r>
    </w:p>
    <w:p w:rsidR="00B67B98" w:rsidRPr="004F2F95" w:rsidRDefault="00B67B98" w:rsidP="00B67B98">
      <w:pPr>
        <w:pStyle w:val="NormalWeb"/>
        <w:spacing w:after="0" w:line="480" w:lineRule="auto"/>
        <w:rPr>
          <w:lang w:val="en-US"/>
        </w:rPr>
      </w:pPr>
      <w:r w:rsidRPr="004F2F95">
        <w:rPr>
          <w:lang w:val="en-US"/>
        </w:rPr>
        <w:t>The radiative forcing by 2100 is 5.6 W m</w:t>
      </w:r>
      <w:r w:rsidRPr="00B67B98">
        <w:rPr>
          <w:vertAlign w:val="superscript"/>
        </w:rPr>
        <w:sym w:font="Symbol" w:char="F02D"/>
      </w:r>
      <w:r w:rsidRPr="004F2F95">
        <w:rPr>
          <w:vertAlign w:val="superscript"/>
          <w:lang w:val="en-US"/>
        </w:rPr>
        <w:t>2</w:t>
      </w:r>
      <w:r w:rsidRPr="004F2F95">
        <w:rPr>
          <w:lang w:val="en-US"/>
        </w:rPr>
        <w:t xml:space="preserve"> in the baseline scenario, and 2.8 W m</w:t>
      </w:r>
      <w:r w:rsidRPr="00B67B98">
        <w:rPr>
          <w:vertAlign w:val="superscript"/>
        </w:rPr>
        <w:sym w:font="Symbol" w:char="F02D"/>
      </w:r>
      <w:r w:rsidRPr="004F2F95">
        <w:rPr>
          <w:vertAlign w:val="superscript"/>
          <w:lang w:val="en-US"/>
        </w:rPr>
        <w:t>2</w:t>
      </w:r>
      <w:r w:rsidRPr="004F2F95">
        <w:rPr>
          <w:lang w:val="en-US"/>
        </w:rPr>
        <w:t xml:space="preserve"> in the 2°C scenario. In the latter, a 0.1°C target overshoot leads to a temperature rise of 2.1°C in 2070 and a peaking CO2 concentration of 483 ppm in 2060, which both relax to 2°C and 444 ppm by 2100, respectively. At the end of the century, the emission mitigation efforts made to maintain global </w:t>
      </w:r>
      <w:r w:rsidRPr="004F2F95">
        <w:rPr>
          <w:lang w:val="en-US"/>
        </w:rPr>
        <w:lastRenderedPageBreak/>
        <w:t>warming below 2.1°C during the 2040-2060 period are relaxed, and this translates into slightly higher GHG emissions during the 2090 and 2100 periods.</w:t>
      </w:r>
    </w:p>
    <w:p w:rsidR="00B67B98" w:rsidRPr="00B67B98" w:rsidRDefault="00B67B98" w:rsidP="00B67B98">
      <w:pPr>
        <w:pStyle w:val="NormalWeb"/>
        <w:spacing w:after="0" w:line="480" w:lineRule="auto"/>
      </w:pPr>
      <w:r w:rsidRPr="00B67B98">
        <w:rPr>
          <w:noProof/>
        </w:rPr>
        <w:drawing>
          <wp:inline distT="0" distB="0" distL="0" distR="0" wp14:anchorId="78C6358F" wp14:editId="6701A1F6">
            <wp:extent cx="5972810" cy="3899535"/>
            <wp:effectExtent l="0" t="0" r="889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a:stretch>
                      <a:fillRect/>
                    </a:stretch>
                  </pic:blipFill>
                  <pic:spPr>
                    <a:xfrm>
                      <a:off x="0" y="0"/>
                      <a:ext cx="5972810" cy="3899535"/>
                    </a:xfrm>
                    <a:prstGeom prst="rect">
                      <a:avLst/>
                    </a:prstGeom>
                  </pic:spPr>
                </pic:pic>
              </a:graphicData>
            </a:graphic>
          </wp:inline>
        </w:drawing>
      </w:r>
    </w:p>
    <w:p w:rsidR="00B67B98" w:rsidRDefault="00B67B98" w:rsidP="00B67B98">
      <w:pPr>
        <w:pStyle w:val="NormalWeb"/>
        <w:spacing w:before="119" w:beforeAutospacing="0"/>
        <w:rPr>
          <w:i/>
          <w:iCs/>
        </w:rPr>
      </w:pPr>
      <w:r w:rsidRPr="004F2F95">
        <w:rPr>
          <w:i/>
          <w:iCs/>
          <w:lang w:val="en-US"/>
        </w:rPr>
        <w:t xml:space="preserve">Figure S2. Total primary energy supply in the baseline and 2°C scenarios. </w:t>
      </w:r>
      <w:r w:rsidRPr="00B67B98">
        <w:rPr>
          <w:i/>
          <w:iCs/>
        </w:rPr>
        <w:t>Table data can be found in the supplementary material</w:t>
      </w:r>
    </w:p>
    <w:p w:rsidR="00B67B98" w:rsidRDefault="00B67B98" w:rsidP="00B67B98">
      <w:pPr>
        <w:pStyle w:val="NormalWeb"/>
        <w:spacing w:before="119" w:beforeAutospacing="0"/>
        <w:rPr>
          <w:i/>
          <w:iCs/>
        </w:rPr>
      </w:pPr>
    </w:p>
    <w:p w:rsidR="00B67B98" w:rsidRDefault="00B67B98" w:rsidP="00B67B98">
      <w:pPr>
        <w:pStyle w:val="NormalWeb"/>
        <w:spacing w:before="119" w:beforeAutospacing="0"/>
      </w:pPr>
      <w:r w:rsidRPr="00B67B98">
        <w:rPr>
          <w:noProof/>
        </w:rPr>
        <w:lastRenderedPageBreak/>
        <w:drawing>
          <wp:inline distT="0" distB="0" distL="0" distR="0" wp14:anchorId="2A6097F2" wp14:editId="38E9EE59">
            <wp:extent cx="5972810" cy="3899535"/>
            <wp:effectExtent l="0" t="0" r="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972810" cy="3899535"/>
                    </a:xfrm>
                    <a:prstGeom prst="rect">
                      <a:avLst/>
                    </a:prstGeom>
                  </pic:spPr>
                </pic:pic>
              </a:graphicData>
            </a:graphic>
          </wp:inline>
        </w:drawing>
      </w:r>
    </w:p>
    <w:p w:rsidR="00B67B98" w:rsidRPr="004F2F95" w:rsidRDefault="00B67B98" w:rsidP="00B67B98">
      <w:pPr>
        <w:pStyle w:val="NormalWeb"/>
        <w:spacing w:before="119" w:beforeAutospacing="0"/>
        <w:rPr>
          <w:lang w:val="en-US"/>
        </w:rPr>
      </w:pPr>
      <w:r w:rsidRPr="004F2F95">
        <w:rPr>
          <w:i/>
          <w:iCs/>
          <w:lang w:val="en-US"/>
        </w:rPr>
        <w:t>Figure S3. Total final consumption in the baseline and 2°C scenarios. Table data can be found in the supplementary material</w:t>
      </w:r>
    </w:p>
    <w:p w:rsidR="00B67B98" w:rsidRPr="004F2F95" w:rsidRDefault="00B67B98" w:rsidP="00B67B98">
      <w:pPr>
        <w:pStyle w:val="NormalWeb"/>
        <w:spacing w:after="0"/>
        <w:jc w:val="center"/>
        <w:rPr>
          <w:lang w:val="en-US"/>
        </w:rPr>
      </w:pPr>
    </w:p>
    <w:p w:rsidR="00B67B98" w:rsidRPr="004F2F95" w:rsidRDefault="00B67B98" w:rsidP="00B67B98">
      <w:pPr>
        <w:pStyle w:val="NormalWeb"/>
        <w:spacing w:after="0" w:line="480" w:lineRule="auto"/>
        <w:rPr>
          <w:lang w:val="en-US"/>
        </w:rPr>
      </w:pPr>
      <w:r w:rsidRPr="004F2F95">
        <w:rPr>
          <w:lang w:val="en-US"/>
        </w:rPr>
        <w:t xml:space="preserve">In the baseline scenario, total primary energy supply grows from 500 EJ (in 2010) to 1200 EJ (in 2100) as shown in supplementary Figure S2. Coal and natural gas production increase, while shares of oil and bioenergy are slowly replaced by renewables in the second half of the century. In the 2°C scenario, primary supply shares are maintained until 2040, with the strong development of natural gas and renewable energy sources covering the energy previously supplied by oil and coal. Total final consumption reaches about 800 EJ in 2100 in both scenarios (Figure S3). While gas (mixed with 15% hydrogen) becomes the most consumed energy after 2060, electricity ranks second, with only a moderate increase (+ 13 EJ) compared to the baseline case in 2100 (196.8 EJ). Heat, hydrogen, and other renewables jointly produce 123 EJ in 2100 in </w:t>
      </w:r>
      <w:r w:rsidRPr="004F2F95">
        <w:rPr>
          <w:lang w:val="en-US"/>
        </w:rPr>
        <w:lastRenderedPageBreak/>
        <w:t>the 2°C scenario. The shares of electricity in the 2100 final consumption are 24.6% and 26.6% in the baseline and 2°C scenarios, respectively.</w:t>
      </w:r>
    </w:p>
    <w:p w:rsidR="00B67B98" w:rsidRPr="004F2F95" w:rsidRDefault="00E20B56" w:rsidP="00B67B98">
      <w:pPr>
        <w:pStyle w:val="NormalWeb"/>
        <w:spacing w:before="454" w:beforeAutospacing="0" w:after="0" w:line="480" w:lineRule="auto"/>
        <w:rPr>
          <w:lang w:val="en-US"/>
        </w:rPr>
      </w:pPr>
      <w:r w:rsidRPr="004F2F95">
        <w:rPr>
          <w:b/>
          <w:bCs/>
          <w:lang w:val="en-US"/>
        </w:rPr>
        <w:t xml:space="preserve">2. </w:t>
      </w:r>
      <w:r w:rsidR="00B67B98" w:rsidRPr="004F2F95">
        <w:rPr>
          <w:b/>
          <w:bCs/>
          <w:lang w:val="en-US"/>
        </w:rPr>
        <w:t>Copper usage scenarios for electricity generating technologies</w:t>
      </w:r>
    </w:p>
    <w:p w:rsidR="00B67B98" w:rsidRPr="004F2F95" w:rsidRDefault="00B67B98" w:rsidP="00B67B98">
      <w:pPr>
        <w:pStyle w:val="NormalWeb"/>
        <w:spacing w:after="0" w:line="480" w:lineRule="auto"/>
        <w:rPr>
          <w:lang w:val="en-US"/>
        </w:rPr>
      </w:pPr>
      <w:r w:rsidRPr="004F2F95">
        <w:rPr>
          <w:lang w:val="en-US"/>
        </w:rPr>
        <w:t>Figure S4 shows the evolution of the demand for copper in the baseline and 2°C scenario. Figure S5 shows the cumulative copper usage. Copper usage increases in both scenarios, to 0.99 Tg/yr in 2050 in the baseline and to 1,71 Tg/yr in the 2°C. Most of the copper requirements are accountable to coal, hydropower and solar PV, but also geothermal and wind power plants in the 2°C scenario. Copper usage during operations decreases in this scenario, but increases in the decommissioning phase after 2040. Copper usage during construction represents 85%—90% of total use. In 2100, total use of copper due to EG technologies is 1.46 Tg/yr in the baseline scenario and close to 2.03 Tg/yr in the 2°C scenario.</w:t>
      </w:r>
    </w:p>
    <w:p w:rsidR="00B67B98" w:rsidRPr="004F2F95" w:rsidRDefault="00B67B98" w:rsidP="00A21345">
      <w:pPr>
        <w:pStyle w:val="NormalWeb"/>
        <w:spacing w:after="0" w:line="480" w:lineRule="auto"/>
        <w:rPr>
          <w:lang w:val="en-US"/>
        </w:rPr>
      </w:pPr>
      <w:r w:rsidRPr="00B67B98">
        <w:rPr>
          <w:noProof/>
        </w:rPr>
        <w:lastRenderedPageBreak/>
        <w:drawing>
          <wp:inline distT="0" distB="0" distL="0" distR="0" wp14:anchorId="005DE6EA" wp14:editId="2D704CB7">
            <wp:extent cx="5972810" cy="6108700"/>
            <wp:effectExtent l="0" t="0" r="889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972810" cy="6108700"/>
                    </a:xfrm>
                    <a:prstGeom prst="rect">
                      <a:avLst/>
                    </a:prstGeom>
                  </pic:spPr>
                </pic:pic>
              </a:graphicData>
            </a:graphic>
          </wp:inline>
        </w:drawing>
      </w:r>
      <w:r w:rsidRPr="004F2F95">
        <w:rPr>
          <w:i/>
          <w:iCs/>
          <w:lang w:val="en-US"/>
        </w:rPr>
        <w:t>Figure S4: Copper use in three life phases in the baseline and 2°C scenarios, by technology</w:t>
      </w:r>
    </w:p>
    <w:p w:rsidR="00B67B98" w:rsidRDefault="00B67B98" w:rsidP="00B67B98">
      <w:pPr>
        <w:pStyle w:val="NormalWeb"/>
        <w:spacing w:before="119" w:beforeAutospacing="0"/>
        <w:rPr>
          <w:i/>
          <w:iCs/>
        </w:rPr>
      </w:pPr>
      <w:r w:rsidRPr="00B67B98">
        <w:rPr>
          <w:i/>
          <w:iCs/>
          <w:noProof/>
        </w:rPr>
        <w:lastRenderedPageBreak/>
        <w:drawing>
          <wp:inline distT="0" distB="0" distL="0" distR="0" wp14:anchorId="0CC392A0" wp14:editId="32EFA594">
            <wp:extent cx="5972810" cy="6108700"/>
            <wp:effectExtent l="0" t="0" r="889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972810" cy="6108700"/>
                    </a:xfrm>
                    <a:prstGeom prst="rect">
                      <a:avLst/>
                    </a:prstGeom>
                  </pic:spPr>
                </pic:pic>
              </a:graphicData>
            </a:graphic>
          </wp:inline>
        </w:drawing>
      </w:r>
    </w:p>
    <w:p w:rsidR="00B67B98" w:rsidRPr="004F2F95" w:rsidRDefault="00B67B98" w:rsidP="00B67B98">
      <w:pPr>
        <w:pStyle w:val="NormalWeb"/>
        <w:spacing w:before="119" w:beforeAutospacing="0"/>
        <w:rPr>
          <w:lang w:val="en-US"/>
        </w:rPr>
      </w:pPr>
      <w:r w:rsidRPr="004F2F95">
        <w:rPr>
          <w:i/>
          <w:iCs/>
          <w:lang w:val="en-US"/>
        </w:rPr>
        <w:t>Figure S5: Cumalive copper use in the three phases and the total use in the baseline and 2°C scenarios</w:t>
      </w:r>
    </w:p>
    <w:p w:rsidR="00B67B98" w:rsidRDefault="00B67B98" w:rsidP="00B67B98">
      <w:pPr>
        <w:pStyle w:val="NormalWeb"/>
        <w:spacing w:before="119" w:beforeAutospacing="0"/>
      </w:pPr>
      <w:r w:rsidRPr="00B67B98">
        <w:rPr>
          <w:noProof/>
        </w:rPr>
        <w:lastRenderedPageBreak/>
        <w:drawing>
          <wp:inline distT="0" distB="0" distL="0" distR="0" wp14:anchorId="60496A5F" wp14:editId="5D017C05">
            <wp:extent cx="5972810" cy="38995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972810" cy="3899535"/>
                    </a:xfrm>
                    <a:prstGeom prst="rect">
                      <a:avLst/>
                    </a:prstGeom>
                  </pic:spPr>
                </pic:pic>
              </a:graphicData>
            </a:graphic>
          </wp:inline>
        </w:drawing>
      </w:r>
    </w:p>
    <w:p w:rsidR="00B67B98" w:rsidRPr="004F2F95" w:rsidRDefault="00B67B98" w:rsidP="00B67B98">
      <w:pPr>
        <w:pStyle w:val="NormalWeb"/>
        <w:spacing w:before="119" w:beforeAutospacing="0"/>
        <w:rPr>
          <w:lang w:val="en-US"/>
        </w:rPr>
      </w:pPr>
      <w:r w:rsidRPr="004F2F95">
        <w:rPr>
          <w:i/>
          <w:iCs/>
          <w:lang w:val="en-US"/>
        </w:rPr>
        <w:t>Figure S6: Prospective copper use by global electricity generating technologies according to different studies</w:t>
      </w:r>
      <w:r w:rsidRPr="004F2F95">
        <w:rPr>
          <w:i/>
          <w:iCs/>
          <w:vertAlign w:val="superscript"/>
          <w:lang w:val="en-US"/>
        </w:rPr>
        <w:t>1–3</w:t>
      </w:r>
      <w:r w:rsidRPr="004F2F95">
        <w:rPr>
          <w:i/>
          <w:iCs/>
          <w:lang w:val="en-US"/>
        </w:rPr>
        <w:t>. For convenience, scenarios "Market First" and "Policy First" studied by Elshkaki et Graedel are renamed in "Baseline" and "2°C", respectively. IEA's BLUE Map scenario used by Kleijn et al. is renamed in "2°C". "COAL&amp;NUC" and "GAS&amp;REN" scenarios by Tokimatsu are renamed in "baseline" and "2°C".Values from Deetman et al. correspond to their medium estimates.</w:t>
      </w:r>
    </w:p>
    <w:p w:rsidR="00B67B98" w:rsidRPr="004F2F95" w:rsidRDefault="00B67B98" w:rsidP="00B67B98">
      <w:pPr>
        <w:pStyle w:val="NormalWeb"/>
        <w:spacing w:before="119" w:beforeAutospacing="0"/>
        <w:rPr>
          <w:lang w:val="en-US"/>
        </w:rPr>
      </w:pPr>
    </w:p>
    <w:p w:rsidR="00B67B98" w:rsidRPr="004F2F95" w:rsidRDefault="00B67B98" w:rsidP="00B67B98">
      <w:pPr>
        <w:pStyle w:val="NormalWeb"/>
        <w:spacing w:after="0" w:line="480" w:lineRule="auto"/>
        <w:rPr>
          <w:lang w:val="en-US"/>
        </w:rPr>
      </w:pPr>
      <w:r w:rsidRPr="004F2F95">
        <w:rPr>
          <w:lang w:val="en-US"/>
        </w:rPr>
        <w:t>Figure S6 shows a comparison between our results with a previous study on the life-cycle metal requirements of EG technologies</w:t>
      </w:r>
      <w:r w:rsidRPr="004F2F95">
        <w:rPr>
          <w:vertAlign w:val="superscript"/>
          <w:lang w:val="en-US"/>
        </w:rPr>
        <w:t>1</w:t>
      </w:r>
      <w:r w:rsidRPr="004F2F95">
        <w:rPr>
          <w:lang w:val="en-US"/>
        </w:rPr>
        <w:t xml:space="preserve"> (A), and three studies</w:t>
      </w:r>
      <w:r w:rsidRPr="004F2F95">
        <w:rPr>
          <w:vertAlign w:val="superscript"/>
          <w:lang w:val="en-US"/>
        </w:rPr>
        <w:t>2–4</w:t>
      </w:r>
      <w:r w:rsidRPr="004F2F95">
        <w:rPr>
          <w:lang w:val="en-US"/>
        </w:rPr>
        <w:t xml:space="preserve"> (B, C, and D, respectively) on the direct metal demand of EG technologies (thus excluding indirect consumption).</w:t>
      </w:r>
    </w:p>
    <w:p w:rsidR="00B67B98" w:rsidRPr="004F2F95" w:rsidRDefault="00B67B98" w:rsidP="00B67B98">
      <w:pPr>
        <w:pStyle w:val="NormalWeb"/>
        <w:spacing w:after="0" w:line="480" w:lineRule="auto"/>
        <w:rPr>
          <w:lang w:val="en-US"/>
        </w:rPr>
      </w:pPr>
      <w:r w:rsidRPr="004F2F95">
        <w:rPr>
          <w:lang w:val="en-US"/>
        </w:rPr>
        <w:t>Our results show good agreement with those of study C, although study C does not account for indirect use of copper. The average requirements over the 2010-2050 period range from 0.64 Tg/yr to 0.96 Tg/yr across studies A, B, and C. Study D provides similar estimates (around 1.10 Tg/yr) for the 2100 period of both scenarios. These are 25%-50% lower than our estimates.</w:t>
      </w:r>
    </w:p>
    <w:p w:rsidR="007905F0" w:rsidRDefault="00E42D52" w:rsidP="007905F0">
      <w:pPr>
        <w:pStyle w:val="Titre3"/>
      </w:pPr>
      <w:r>
        <w:lastRenderedPageBreak/>
        <w:t>Note</w:t>
      </w:r>
      <w:bookmarkStart w:id="0" w:name="_GoBack"/>
      <w:bookmarkEnd w:id="0"/>
    </w:p>
    <w:p w:rsidR="007905F0" w:rsidRPr="004F2F95" w:rsidRDefault="007905F0" w:rsidP="00B67B98">
      <w:pPr>
        <w:pStyle w:val="NormalWeb"/>
        <w:spacing w:after="0" w:line="480" w:lineRule="auto"/>
        <w:rPr>
          <w:lang w:val="en-US"/>
        </w:rPr>
      </w:pPr>
      <w:r w:rsidRPr="004F2F95">
        <w:rPr>
          <w:lang w:val="en-US"/>
        </w:rPr>
        <w:t xml:space="preserve">As natural gas and gas from coal mining </w:t>
      </w:r>
      <w:r w:rsidR="004F2F95">
        <w:rPr>
          <w:lang w:val="en-US"/>
        </w:rPr>
        <w:t xml:space="preserve">values </w:t>
      </w:r>
      <w:r w:rsidRPr="004F2F95">
        <w:rPr>
          <w:lang w:val="en-US"/>
        </w:rPr>
        <w:t>are expressed in cubic meters, we convert these into unit mass with the following volumic masses: 0.68 kg m-3 for natural gas and 0.58 kg m-3 for coal gas.</w:t>
      </w:r>
    </w:p>
    <w:p w:rsidR="00B67B98" w:rsidRPr="004F2F95" w:rsidRDefault="00B67B98" w:rsidP="00B67B98">
      <w:pPr>
        <w:pStyle w:val="NormalWeb"/>
        <w:spacing w:after="0" w:line="480" w:lineRule="auto"/>
        <w:rPr>
          <w:lang w:val="en-US"/>
        </w:rPr>
      </w:pPr>
    </w:p>
    <w:p w:rsidR="00B67B98" w:rsidRPr="004F2F95" w:rsidRDefault="00B67B98" w:rsidP="00B67B98">
      <w:pPr>
        <w:pStyle w:val="NormalWeb"/>
        <w:spacing w:before="454" w:beforeAutospacing="0" w:after="0" w:line="480" w:lineRule="auto"/>
        <w:rPr>
          <w:lang w:val="en-US"/>
        </w:rPr>
      </w:pPr>
      <w:r w:rsidRPr="004F2F95">
        <w:rPr>
          <w:b/>
          <w:bCs/>
          <w:lang w:val="en-US"/>
        </w:rPr>
        <w:t>References</w:t>
      </w:r>
    </w:p>
    <w:p w:rsidR="00B67B98" w:rsidRPr="004F2F95" w:rsidRDefault="00B67B98" w:rsidP="00B67B98">
      <w:pPr>
        <w:pStyle w:val="NormalWeb"/>
        <w:spacing w:after="0" w:line="482" w:lineRule="atLeast"/>
        <w:ind w:left="266" w:hanging="266"/>
        <w:rPr>
          <w:lang w:val="en-US"/>
        </w:rPr>
      </w:pPr>
      <w:r w:rsidRPr="004F2F95">
        <w:rPr>
          <w:lang w:val="en-US"/>
        </w:rPr>
        <w:t xml:space="preserve">1. Kleijn, R., van der Voet, E., Kramer, G. J., van Oers, L. &amp; van der Giesen, C. Metal requirements of low-carbon power generation. </w:t>
      </w:r>
      <w:r w:rsidRPr="004F2F95">
        <w:rPr>
          <w:i/>
          <w:iCs/>
          <w:lang w:val="en-US"/>
        </w:rPr>
        <w:t>Energy</w:t>
      </w:r>
      <w:r w:rsidRPr="004F2F95">
        <w:rPr>
          <w:lang w:val="en-US"/>
        </w:rPr>
        <w:t xml:space="preserve"> </w:t>
      </w:r>
      <w:r w:rsidRPr="004F2F95">
        <w:rPr>
          <w:b/>
          <w:bCs/>
          <w:lang w:val="en-US"/>
        </w:rPr>
        <w:t>36,</w:t>
      </w:r>
      <w:r w:rsidRPr="004F2F95">
        <w:rPr>
          <w:lang w:val="en-US"/>
        </w:rPr>
        <w:t xml:space="preserve"> 5640–5648 (2011).</w:t>
      </w:r>
    </w:p>
    <w:p w:rsidR="00B67B98" w:rsidRPr="004F2F95" w:rsidRDefault="00B67B98" w:rsidP="00B67B98">
      <w:pPr>
        <w:pStyle w:val="NormalWeb"/>
        <w:spacing w:after="0" w:line="482" w:lineRule="atLeast"/>
        <w:ind w:left="266" w:hanging="266"/>
        <w:rPr>
          <w:lang w:val="en-US"/>
        </w:rPr>
      </w:pPr>
      <w:r w:rsidRPr="004F2F95">
        <w:rPr>
          <w:lang w:val="en-US"/>
        </w:rPr>
        <w:t xml:space="preserve">2. Elshkaki, A. &amp; Graedel, T. E. Dynamic analysis of the global metals flows and stocks in electricity generation technologies. </w:t>
      </w:r>
      <w:r w:rsidRPr="004F2F95">
        <w:rPr>
          <w:i/>
          <w:iCs/>
          <w:lang w:val="en-US"/>
        </w:rPr>
        <w:t>J. Clean. Prod.</w:t>
      </w:r>
      <w:r w:rsidRPr="004F2F95">
        <w:rPr>
          <w:lang w:val="en-US"/>
        </w:rPr>
        <w:t xml:space="preserve"> </w:t>
      </w:r>
      <w:r w:rsidRPr="004F2F95">
        <w:rPr>
          <w:b/>
          <w:bCs/>
          <w:lang w:val="en-US"/>
        </w:rPr>
        <w:t>59,</w:t>
      </w:r>
      <w:r w:rsidRPr="004F2F95">
        <w:rPr>
          <w:lang w:val="en-US"/>
        </w:rPr>
        <w:t xml:space="preserve"> 260–273 (2013).</w:t>
      </w:r>
    </w:p>
    <w:p w:rsidR="00B67B98" w:rsidRPr="004F2F95" w:rsidRDefault="00B67B98" w:rsidP="00B67B98">
      <w:pPr>
        <w:pStyle w:val="NormalWeb"/>
        <w:spacing w:after="0" w:line="482" w:lineRule="atLeast"/>
        <w:ind w:left="266" w:hanging="266"/>
        <w:rPr>
          <w:lang w:val="en-US"/>
        </w:rPr>
      </w:pPr>
      <w:r w:rsidRPr="004F2F95">
        <w:rPr>
          <w:lang w:val="en-US"/>
        </w:rPr>
        <w:t xml:space="preserve">3. Deetman, S., Pauliuk, S., van Vuuren, D. P., van der Voet, E. &amp; Tukker, A. Scenarios for Demand Growth of Metals in Electricity Generation Technologies, Cars, and Electronic Appliances. </w:t>
      </w:r>
      <w:r w:rsidRPr="004F2F95">
        <w:rPr>
          <w:i/>
          <w:iCs/>
          <w:lang w:val="en-US"/>
        </w:rPr>
        <w:t>Environ. Sci. Technol.</w:t>
      </w:r>
      <w:r w:rsidRPr="004F2F95">
        <w:rPr>
          <w:lang w:val="en-US"/>
        </w:rPr>
        <w:t xml:space="preserve"> </w:t>
      </w:r>
      <w:r w:rsidRPr="004F2F95">
        <w:rPr>
          <w:b/>
          <w:bCs/>
          <w:lang w:val="en-US"/>
        </w:rPr>
        <w:t>52,</w:t>
      </w:r>
      <w:r w:rsidRPr="004F2F95">
        <w:rPr>
          <w:lang w:val="en-US"/>
        </w:rPr>
        <w:t xml:space="preserve"> 4950–4959 (2018).</w:t>
      </w:r>
    </w:p>
    <w:p w:rsidR="00031015" w:rsidRDefault="00B67B98" w:rsidP="00A21345">
      <w:pPr>
        <w:pStyle w:val="NormalWeb"/>
        <w:spacing w:after="0" w:line="482" w:lineRule="atLeast"/>
        <w:ind w:left="266" w:hanging="266"/>
      </w:pPr>
      <w:r w:rsidRPr="004F2F95">
        <w:rPr>
          <w:lang w:val="en-US"/>
        </w:rPr>
        <w:t xml:space="preserve">4. Tokimatsu, K. </w:t>
      </w:r>
      <w:r w:rsidRPr="004F2F95">
        <w:rPr>
          <w:i/>
          <w:iCs/>
          <w:lang w:val="en-US"/>
        </w:rPr>
        <w:t>et al.</w:t>
      </w:r>
      <w:r w:rsidRPr="004F2F95">
        <w:rPr>
          <w:lang w:val="en-US"/>
        </w:rPr>
        <w:t xml:space="preserve"> Energy modeling approach to the global energy-mineral nexus: A first look at metal requirements and the 2 °C target. </w:t>
      </w:r>
      <w:r w:rsidRPr="00B67B98">
        <w:rPr>
          <w:i/>
          <w:iCs/>
        </w:rPr>
        <w:t>Appl. Energy</w:t>
      </w:r>
      <w:r w:rsidRPr="00B67B98">
        <w:t xml:space="preserve"> </w:t>
      </w:r>
      <w:r w:rsidRPr="00B67B98">
        <w:rPr>
          <w:b/>
          <w:bCs/>
        </w:rPr>
        <w:t>207,</w:t>
      </w:r>
      <w:r w:rsidRPr="00B67B98">
        <w:t xml:space="preserve"> 494–509 (2017).</w:t>
      </w:r>
    </w:p>
    <w:sectPr w:rsidR="00031015">
      <w:pgSz w:w="12240" w:h="15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4"/>
  <w:defaultTabStop w:val="720"/>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7B98"/>
    <w:rsid w:val="00031015"/>
    <w:rsid w:val="00274E59"/>
    <w:rsid w:val="00291ABE"/>
    <w:rsid w:val="004B274E"/>
    <w:rsid w:val="004F2F95"/>
    <w:rsid w:val="0054001F"/>
    <w:rsid w:val="00594256"/>
    <w:rsid w:val="006D39BF"/>
    <w:rsid w:val="007905F0"/>
    <w:rsid w:val="00A21345"/>
    <w:rsid w:val="00B67B98"/>
    <w:rsid w:val="00BF20F9"/>
    <w:rsid w:val="00C0454F"/>
    <w:rsid w:val="00E20B56"/>
    <w:rsid w:val="00E42D5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A1A3FF"/>
  <w15:docId w15:val="{8CDC38AE-7629-45E1-A985-3BCE72096F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D39BF"/>
  </w:style>
  <w:style w:type="paragraph" w:styleId="Titre1">
    <w:name w:val="heading 1"/>
    <w:basedOn w:val="Normal"/>
    <w:next w:val="Normal"/>
    <w:link w:val="Titre1Car"/>
    <w:uiPriority w:val="9"/>
    <w:qFormat/>
    <w:rsid w:val="006D39BF"/>
    <w:pPr>
      <w:spacing w:before="480" w:after="0"/>
      <w:contextualSpacing/>
      <w:outlineLvl w:val="0"/>
    </w:pPr>
    <w:rPr>
      <w:rFonts w:asciiTheme="majorHAnsi" w:eastAsiaTheme="majorEastAsia" w:hAnsiTheme="majorHAnsi" w:cstheme="majorBidi"/>
      <w:b/>
      <w:bCs/>
      <w:sz w:val="28"/>
      <w:szCs w:val="28"/>
    </w:rPr>
  </w:style>
  <w:style w:type="paragraph" w:styleId="Titre2">
    <w:name w:val="heading 2"/>
    <w:basedOn w:val="Normal"/>
    <w:next w:val="Normal"/>
    <w:link w:val="Titre2Car"/>
    <w:uiPriority w:val="9"/>
    <w:unhideWhenUsed/>
    <w:qFormat/>
    <w:rsid w:val="006D39BF"/>
    <w:pPr>
      <w:spacing w:before="200" w:after="0"/>
      <w:outlineLvl w:val="1"/>
    </w:pPr>
    <w:rPr>
      <w:rFonts w:asciiTheme="majorHAnsi" w:eastAsiaTheme="majorEastAsia" w:hAnsiTheme="majorHAnsi" w:cstheme="majorBidi"/>
      <w:b/>
      <w:bCs/>
      <w:sz w:val="26"/>
      <w:szCs w:val="26"/>
    </w:rPr>
  </w:style>
  <w:style w:type="paragraph" w:styleId="Titre3">
    <w:name w:val="heading 3"/>
    <w:basedOn w:val="Normal"/>
    <w:next w:val="Normal"/>
    <w:link w:val="Titre3Car"/>
    <w:uiPriority w:val="9"/>
    <w:unhideWhenUsed/>
    <w:qFormat/>
    <w:rsid w:val="006D39BF"/>
    <w:pPr>
      <w:spacing w:before="200" w:after="0" w:line="271" w:lineRule="auto"/>
      <w:outlineLvl w:val="2"/>
    </w:pPr>
    <w:rPr>
      <w:rFonts w:asciiTheme="majorHAnsi" w:eastAsiaTheme="majorEastAsia" w:hAnsiTheme="majorHAnsi" w:cstheme="majorBidi"/>
      <w:b/>
      <w:bCs/>
    </w:rPr>
  </w:style>
  <w:style w:type="paragraph" w:styleId="Titre4">
    <w:name w:val="heading 4"/>
    <w:basedOn w:val="Normal"/>
    <w:next w:val="Normal"/>
    <w:link w:val="Titre4Car"/>
    <w:uiPriority w:val="9"/>
    <w:semiHidden/>
    <w:unhideWhenUsed/>
    <w:qFormat/>
    <w:rsid w:val="006D39BF"/>
    <w:pPr>
      <w:spacing w:before="200" w:after="0"/>
      <w:outlineLvl w:val="3"/>
    </w:pPr>
    <w:rPr>
      <w:rFonts w:asciiTheme="majorHAnsi" w:eastAsiaTheme="majorEastAsia" w:hAnsiTheme="majorHAnsi" w:cstheme="majorBidi"/>
      <w:b/>
      <w:bCs/>
      <w:i/>
      <w:iCs/>
    </w:rPr>
  </w:style>
  <w:style w:type="paragraph" w:styleId="Titre5">
    <w:name w:val="heading 5"/>
    <w:basedOn w:val="Normal"/>
    <w:next w:val="Normal"/>
    <w:link w:val="Titre5Car"/>
    <w:uiPriority w:val="9"/>
    <w:semiHidden/>
    <w:unhideWhenUsed/>
    <w:qFormat/>
    <w:rsid w:val="006D39BF"/>
    <w:pPr>
      <w:spacing w:before="200" w:after="0"/>
      <w:outlineLvl w:val="4"/>
    </w:pPr>
    <w:rPr>
      <w:rFonts w:asciiTheme="majorHAnsi" w:eastAsiaTheme="majorEastAsia" w:hAnsiTheme="majorHAnsi" w:cstheme="majorBidi"/>
      <w:b/>
      <w:bCs/>
      <w:color w:val="7F7F7F" w:themeColor="text1" w:themeTint="80"/>
    </w:rPr>
  </w:style>
  <w:style w:type="paragraph" w:styleId="Titre6">
    <w:name w:val="heading 6"/>
    <w:basedOn w:val="Normal"/>
    <w:next w:val="Normal"/>
    <w:link w:val="Titre6Car"/>
    <w:uiPriority w:val="9"/>
    <w:semiHidden/>
    <w:unhideWhenUsed/>
    <w:qFormat/>
    <w:rsid w:val="006D39BF"/>
    <w:pPr>
      <w:spacing w:after="0" w:line="271" w:lineRule="auto"/>
      <w:outlineLvl w:val="5"/>
    </w:pPr>
    <w:rPr>
      <w:rFonts w:asciiTheme="majorHAnsi" w:eastAsiaTheme="majorEastAsia" w:hAnsiTheme="majorHAnsi" w:cstheme="majorBidi"/>
      <w:b/>
      <w:bCs/>
      <w:i/>
      <w:iCs/>
      <w:color w:val="7F7F7F" w:themeColor="text1" w:themeTint="80"/>
    </w:rPr>
  </w:style>
  <w:style w:type="paragraph" w:styleId="Titre7">
    <w:name w:val="heading 7"/>
    <w:basedOn w:val="Normal"/>
    <w:next w:val="Normal"/>
    <w:link w:val="Titre7Car"/>
    <w:uiPriority w:val="9"/>
    <w:semiHidden/>
    <w:unhideWhenUsed/>
    <w:qFormat/>
    <w:rsid w:val="006D39BF"/>
    <w:pPr>
      <w:spacing w:after="0"/>
      <w:outlineLvl w:val="6"/>
    </w:pPr>
    <w:rPr>
      <w:rFonts w:asciiTheme="majorHAnsi" w:eastAsiaTheme="majorEastAsia" w:hAnsiTheme="majorHAnsi" w:cstheme="majorBidi"/>
      <w:i/>
      <w:iCs/>
    </w:rPr>
  </w:style>
  <w:style w:type="paragraph" w:styleId="Titre8">
    <w:name w:val="heading 8"/>
    <w:basedOn w:val="Normal"/>
    <w:next w:val="Normal"/>
    <w:link w:val="Titre8Car"/>
    <w:uiPriority w:val="9"/>
    <w:semiHidden/>
    <w:unhideWhenUsed/>
    <w:qFormat/>
    <w:rsid w:val="006D39BF"/>
    <w:pPr>
      <w:spacing w:after="0"/>
      <w:outlineLvl w:val="7"/>
    </w:pPr>
    <w:rPr>
      <w:rFonts w:asciiTheme="majorHAnsi" w:eastAsiaTheme="majorEastAsia" w:hAnsiTheme="majorHAnsi" w:cstheme="majorBidi"/>
      <w:sz w:val="20"/>
      <w:szCs w:val="20"/>
    </w:rPr>
  </w:style>
  <w:style w:type="paragraph" w:styleId="Titre9">
    <w:name w:val="heading 9"/>
    <w:basedOn w:val="Normal"/>
    <w:next w:val="Normal"/>
    <w:link w:val="Titre9Car"/>
    <w:uiPriority w:val="9"/>
    <w:semiHidden/>
    <w:unhideWhenUsed/>
    <w:qFormat/>
    <w:rsid w:val="006D39BF"/>
    <w:pPr>
      <w:spacing w:after="0"/>
      <w:outlineLvl w:val="8"/>
    </w:pPr>
    <w:rPr>
      <w:rFonts w:asciiTheme="majorHAnsi" w:eastAsiaTheme="majorEastAsia" w:hAnsiTheme="majorHAnsi" w:cstheme="majorBidi"/>
      <w:i/>
      <w:iCs/>
      <w:spacing w:val="5"/>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6D39BF"/>
    <w:rPr>
      <w:rFonts w:asciiTheme="majorHAnsi" w:eastAsiaTheme="majorEastAsia" w:hAnsiTheme="majorHAnsi" w:cstheme="majorBidi"/>
      <w:b/>
      <w:bCs/>
      <w:sz w:val="28"/>
      <w:szCs w:val="28"/>
    </w:rPr>
  </w:style>
  <w:style w:type="character" w:customStyle="1" w:styleId="Titre2Car">
    <w:name w:val="Titre 2 Car"/>
    <w:basedOn w:val="Policepardfaut"/>
    <w:link w:val="Titre2"/>
    <w:uiPriority w:val="9"/>
    <w:rsid w:val="006D39BF"/>
    <w:rPr>
      <w:rFonts w:asciiTheme="majorHAnsi" w:eastAsiaTheme="majorEastAsia" w:hAnsiTheme="majorHAnsi" w:cstheme="majorBidi"/>
      <w:b/>
      <w:bCs/>
      <w:sz w:val="26"/>
      <w:szCs w:val="26"/>
    </w:rPr>
  </w:style>
  <w:style w:type="paragraph" w:styleId="Titre">
    <w:name w:val="Title"/>
    <w:basedOn w:val="Normal"/>
    <w:next w:val="Normal"/>
    <w:link w:val="TitreCar"/>
    <w:uiPriority w:val="10"/>
    <w:qFormat/>
    <w:rsid w:val="006D39BF"/>
    <w:pPr>
      <w:pBdr>
        <w:bottom w:val="single" w:sz="4" w:space="1" w:color="auto"/>
      </w:pBdr>
      <w:spacing w:line="240" w:lineRule="auto"/>
      <w:contextualSpacing/>
    </w:pPr>
    <w:rPr>
      <w:rFonts w:asciiTheme="majorHAnsi" w:eastAsiaTheme="majorEastAsia" w:hAnsiTheme="majorHAnsi" w:cstheme="majorBidi"/>
      <w:spacing w:val="5"/>
      <w:sz w:val="52"/>
      <w:szCs w:val="52"/>
    </w:rPr>
  </w:style>
  <w:style w:type="character" w:customStyle="1" w:styleId="TitreCar">
    <w:name w:val="Titre Car"/>
    <w:basedOn w:val="Policepardfaut"/>
    <w:link w:val="Titre"/>
    <w:uiPriority w:val="10"/>
    <w:rsid w:val="006D39BF"/>
    <w:rPr>
      <w:rFonts w:asciiTheme="majorHAnsi" w:eastAsiaTheme="majorEastAsia" w:hAnsiTheme="majorHAnsi" w:cstheme="majorBidi"/>
      <w:spacing w:val="5"/>
      <w:sz w:val="52"/>
      <w:szCs w:val="52"/>
    </w:rPr>
  </w:style>
  <w:style w:type="paragraph" w:styleId="Sous-titre">
    <w:name w:val="Subtitle"/>
    <w:basedOn w:val="Normal"/>
    <w:next w:val="Normal"/>
    <w:link w:val="Sous-titreCar"/>
    <w:uiPriority w:val="11"/>
    <w:qFormat/>
    <w:rsid w:val="006D39BF"/>
    <w:pPr>
      <w:spacing w:after="600"/>
    </w:pPr>
    <w:rPr>
      <w:rFonts w:asciiTheme="majorHAnsi" w:eastAsiaTheme="majorEastAsia" w:hAnsiTheme="majorHAnsi" w:cstheme="majorBidi"/>
      <w:i/>
      <w:iCs/>
      <w:spacing w:val="13"/>
      <w:sz w:val="24"/>
      <w:szCs w:val="24"/>
    </w:rPr>
  </w:style>
  <w:style w:type="character" w:customStyle="1" w:styleId="Sous-titreCar">
    <w:name w:val="Sous-titre Car"/>
    <w:basedOn w:val="Policepardfaut"/>
    <w:link w:val="Sous-titre"/>
    <w:uiPriority w:val="11"/>
    <w:rsid w:val="006D39BF"/>
    <w:rPr>
      <w:rFonts w:asciiTheme="majorHAnsi" w:eastAsiaTheme="majorEastAsia" w:hAnsiTheme="majorHAnsi" w:cstheme="majorBidi"/>
      <w:i/>
      <w:iCs/>
      <w:spacing w:val="13"/>
      <w:sz w:val="24"/>
      <w:szCs w:val="24"/>
    </w:rPr>
  </w:style>
  <w:style w:type="character" w:customStyle="1" w:styleId="Titre3Car">
    <w:name w:val="Titre 3 Car"/>
    <w:basedOn w:val="Policepardfaut"/>
    <w:link w:val="Titre3"/>
    <w:uiPriority w:val="9"/>
    <w:rsid w:val="006D39BF"/>
    <w:rPr>
      <w:rFonts w:asciiTheme="majorHAnsi" w:eastAsiaTheme="majorEastAsia" w:hAnsiTheme="majorHAnsi" w:cstheme="majorBidi"/>
      <w:b/>
      <w:bCs/>
    </w:rPr>
  </w:style>
  <w:style w:type="character" w:customStyle="1" w:styleId="Titre4Car">
    <w:name w:val="Titre 4 Car"/>
    <w:basedOn w:val="Policepardfaut"/>
    <w:link w:val="Titre4"/>
    <w:uiPriority w:val="9"/>
    <w:semiHidden/>
    <w:rsid w:val="006D39BF"/>
    <w:rPr>
      <w:rFonts w:asciiTheme="majorHAnsi" w:eastAsiaTheme="majorEastAsia" w:hAnsiTheme="majorHAnsi" w:cstheme="majorBidi"/>
      <w:b/>
      <w:bCs/>
      <w:i/>
      <w:iCs/>
    </w:rPr>
  </w:style>
  <w:style w:type="character" w:customStyle="1" w:styleId="Titre5Car">
    <w:name w:val="Titre 5 Car"/>
    <w:basedOn w:val="Policepardfaut"/>
    <w:link w:val="Titre5"/>
    <w:uiPriority w:val="9"/>
    <w:semiHidden/>
    <w:rsid w:val="006D39BF"/>
    <w:rPr>
      <w:rFonts w:asciiTheme="majorHAnsi" w:eastAsiaTheme="majorEastAsia" w:hAnsiTheme="majorHAnsi" w:cstheme="majorBidi"/>
      <w:b/>
      <w:bCs/>
      <w:color w:val="7F7F7F" w:themeColor="text1" w:themeTint="80"/>
    </w:rPr>
  </w:style>
  <w:style w:type="character" w:customStyle="1" w:styleId="Titre6Car">
    <w:name w:val="Titre 6 Car"/>
    <w:basedOn w:val="Policepardfaut"/>
    <w:link w:val="Titre6"/>
    <w:uiPriority w:val="9"/>
    <w:semiHidden/>
    <w:rsid w:val="006D39BF"/>
    <w:rPr>
      <w:rFonts w:asciiTheme="majorHAnsi" w:eastAsiaTheme="majorEastAsia" w:hAnsiTheme="majorHAnsi" w:cstheme="majorBidi"/>
      <w:b/>
      <w:bCs/>
      <w:i/>
      <w:iCs/>
      <w:color w:val="7F7F7F" w:themeColor="text1" w:themeTint="80"/>
    </w:rPr>
  </w:style>
  <w:style w:type="character" w:customStyle="1" w:styleId="Titre7Car">
    <w:name w:val="Titre 7 Car"/>
    <w:basedOn w:val="Policepardfaut"/>
    <w:link w:val="Titre7"/>
    <w:uiPriority w:val="9"/>
    <w:semiHidden/>
    <w:rsid w:val="006D39BF"/>
    <w:rPr>
      <w:rFonts w:asciiTheme="majorHAnsi" w:eastAsiaTheme="majorEastAsia" w:hAnsiTheme="majorHAnsi" w:cstheme="majorBidi"/>
      <w:i/>
      <w:iCs/>
    </w:rPr>
  </w:style>
  <w:style w:type="character" w:customStyle="1" w:styleId="Titre8Car">
    <w:name w:val="Titre 8 Car"/>
    <w:basedOn w:val="Policepardfaut"/>
    <w:link w:val="Titre8"/>
    <w:uiPriority w:val="9"/>
    <w:semiHidden/>
    <w:rsid w:val="006D39BF"/>
    <w:rPr>
      <w:rFonts w:asciiTheme="majorHAnsi" w:eastAsiaTheme="majorEastAsia" w:hAnsiTheme="majorHAnsi" w:cstheme="majorBidi"/>
      <w:sz w:val="20"/>
      <w:szCs w:val="20"/>
    </w:rPr>
  </w:style>
  <w:style w:type="character" w:customStyle="1" w:styleId="Titre9Car">
    <w:name w:val="Titre 9 Car"/>
    <w:basedOn w:val="Policepardfaut"/>
    <w:link w:val="Titre9"/>
    <w:uiPriority w:val="9"/>
    <w:semiHidden/>
    <w:rsid w:val="006D39BF"/>
    <w:rPr>
      <w:rFonts w:asciiTheme="majorHAnsi" w:eastAsiaTheme="majorEastAsia" w:hAnsiTheme="majorHAnsi" w:cstheme="majorBidi"/>
      <w:i/>
      <w:iCs/>
      <w:spacing w:val="5"/>
      <w:sz w:val="20"/>
      <w:szCs w:val="20"/>
    </w:rPr>
  </w:style>
  <w:style w:type="character" w:styleId="lev">
    <w:name w:val="Strong"/>
    <w:uiPriority w:val="22"/>
    <w:qFormat/>
    <w:rsid w:val="006D39BF"/>
    <w:rPr>
      <w:b/>
      <w:bCs/>
    </w:rPr>
  </w:style>
  <w:style w:type="character" w:styleId="Accentuation">
    <w:name w:val="Emphasis"/>
    <w:uiPriority w:val="20"/>
    <w:qFormat/>
    <w:rsid w:val="006D39BF"/>
    <w:rPr>
      <w:b/>
      <w:bCs/>
      <w:i/>
      <w:iCs/>
      <w:spacing w:val="10"/>
      <w:bdr w:val="none" w:sz="0" w:space="0" w:color="auto"/>
      <w:shd w:val="clear" w:color="auto" w:fill="auto"/>
    </w:rPr>
  </w:style>
  <w:style w:type="paragraph" w:styleId="Sansinterligne">
    <w:name w:val="No Spacing"/>
    <w:basedOn w:val="Normal"/>
    <w:uiPriority w:val="1"/>
    <w:qFormat/>
    <w:rsid w:val="006D39BF"/>
    <w:pPr>
      <w:spacing w:after="0" w:line="240" w:lineRule="auto"/>
    </w:pPr>
  </w:style>
  <w:style w:type="paragraph" w:styleId="Paragraphedeliste">
    <w:name w:val="List Paragraph"/>
    <w:basedOn w:val="Normal"/>
    <w:uiPriority w:val="34"/>
    <w:qFormat/>
    <w:rsid w:val="006D39BF"/>
    <w:pPr>
      <w:ind w:left="720"/>
      <w:contextualSpacing/>
    </w:pPr>
  </w:style>
  <w:style w:type="paragraph" w:styleId="Citation">
    <w:name w:val="Quote"/>
    <w:basedOn w:val="Normal"/>
    <w:next w:val="Normal"/>
    <w:link w:val="CitationCar"/>
    <w:uiPriority w:val="29"/>
    <w:qFormat/>
    <w:rsid w:val="006D39BF"/>
    <w:pPr>
      <w:spacing w:before="200" w:after="0"/>
      <w:ind w:left="360" w:right="360"/>
    </w:pPr>
    <w:rPr>
      <w:i/>
      <w:iCs/>
    </w:rPr>
  </w:style>
  <w:style w:type="character" w:customStyle="1" w:styleId="CitationCar">
    <w:name w:val="Citation Car"/>
    <w:basedOn w:val="Policepardfaut"/>
    <w:link w:val="Citation"/>
    <w:uiPriority w:val="29"/>
    <w:rsid w:val="006D39BF"/>
    <w:rPr>
      <w:i/>
      <w:iCs/>
    </w:rPr>
  </w:style>
  <w:style w:type="paragraph" w:styleId="Citationintense">
    <w:name w:val="Intense Quote"/>
    <w:basedOn w:val="Normal"/>
    <w:next w:val="Normal"/>
    <w:link w:val="CitationintenseCar"/>
    <w:uiPriority w:val="30"/>
    <w:qFormat/>
    <w:rsid w:val="006D39BF"/>
    <w:pPr>
      <w:pBdr>
        <w:bottom w:val="single" w:sz="4" w:space="1" w:color="auto"/>
      </w:pBdr>
      <w:spacing w:before="200" w:after="280"/>
      <w:ind w:left="1008" w:right="1152"/>
      <w:jc w:val="both"/>
    </w:pPr>
    <w:rPr>
      <w:b/>
      <w:bCs/>
      <w:i/>
      <w:iCs/>
    </w:rPr>
  </w:style>
  <w:style w:type="character" w:customStyle="1" w:styleId="CitationintenseCar">
    <w:name w:val="Citation intense Car"/>
    <w:basedOn w:val="Policepardfaut"/>
    <w:link w:val="Citationintense"/>
    <w:uiPriority w:val="30"/>
    <w:rsid w:val="006D39BF"/>
    <w:rPr>
      <w:b/>
      <w:bCs/>
      <w:i/>
      <w:iCs/>
    </w:rPr>
  </w:style>
  <w:style w:type="character" w:styleId="Emphaseple">
    <w:name w:val="Subtle Emphasis"/>
    <w:uiPriority w:val="19"/>
    <w:qFormat/>
    <w:rsid w:val="006D39BF"/>
    <w:rPr>
      <w:i/>
      <w:iCs/>
    </w:rPr>
  </w:style>
  <w:style w:type="character" w:styleId="Emphaseintense">
    <w:name w:val="Intense Emphasis"/>
    <w:uiPriority w:val="21"/>
    <w:qFormat/>
    <w:rsid w:val="006D39BF"/>
    <w:rPr>
      <w:b/>
      <w:bCs/>
    </w:rPr>
  </w:style>
  <w:style w:type="character" w:styleId="Rfrenceple">
    <w:name w:val="Subtle Reference"/>
    <w:uiPriority w:val="31"/>
    <w:qFormat/>
    <w:rsid w:val="006D39BF"/>
    <w:rPr>
      <w:smallCaps/>
    </w:rPr>
  </w:style>
  <w:style w:type="character" w:styleId="Rfrenceintense">
    <w:name w:val="Intense Reference"/>
    <w:uiPriority w:val="32"/>
    <w:qFormat/>
    <w:rsid w:val="006D39BF"/>
    <w:rPr>
      <w:smallCaps/>
      <w:spacing w:val="5"/>
      <w:u w:val="single"/>
    </w:rPr>
  </w:style>
  <w:style w:type="character" w:styleId="Titredulivre">
    <w:name w:val="Book Title"/>
    <w:uiPriority w:val="33"/>
    <w:qFormat/>
    <w:rsid w:val="006D39BF"/>
    <w:rPr>
      <w:i/>
      <w:iCs/>
      <w:smallCaps/>
      <w:spacing w:val="5"/>
    </w:rPr>
  </w:style>
  <w:style w:type="paragraph" w:styleId="En-ttedetabledesmatires">
    <w:name w:val="TOC Heading"/>
    <w:basedOn w:val="Titre1"/>
    <w:next w:val="Normal"/>
    <w:uiPriority w:val="39"/>
    <w:semiHidden/>
    <w:unhideWhenUsed/>
    <w:qFormat/>
    <w:rsid w:val="006D39BF"/>
    <w:pPr>
      <w:outlineLvl w:val="9"/>
    </w:pPr>
    <w:rPr>
      <w:lang w:bidi="en-US"/>
    </w:rPr>
  </w:style>
  <w:style w:type="paragraph" w:styleId="NormalWeb">
    <w:name w:val="Normal (Web)"/>
    <w:basedOn w:val="Normal"/>
    <w:uiPriority w:val="99"/>
    <w:unhideWhenUsed/>
    <w:rsid w:val="00B67B98"/>
    <w:pPr>
      <w:spacing w:before="100" w:beforeAutospacing="1" w:after="119" w:line="240" w:lineRule="auto"/>
    </w:pPr>
    <w:rPr>
      <w:rFonts w:ascii="Times New Roman" w:eastAsia="Times New Roman" w:hAnsi="Times New Roman" w:cs="Times New Roman"/>
      <w:sz w:val="24"/>
      <w:szCs w:val="24"/>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037096">
      <w:bodyDiv w:val="1"/>
      <w:marLeft w:val="0"/>
      <w:marRight w:val="0"/>
      <w:marTop w:val="0"/>
      <w:marBottom w:val="0"/>
      <w:divBdr>
        <w:top w:val="none" w:sz="0" w:space="0" w:color="auto"/>
        <w:left w:val="none" w:sz="0" w:space="0" w:color="auto"/>
        <w:bottom w:val="none" w:sz="0" w:space="0" w:color="auto"/>
        <w:right w:val="none" w:sz="0" w:space="0" w:color="auto"/>
      </w:divBdr>
    </w:div>
    <w:div w:id="162817430">
      <w:bodyDiv w:val="1"/>
      <w:marLeft w:val="0"/>
      <w:marRight w:val="0"/>
      <w:marTop w:val="0"/>
      <w:marBottom w:val="0"/>
      <w:divBdr>
        <w:top w:val="none" w:sz="0" w:space="0" w:color="auto"/>
        <w:left w:val="none" w:sz="0" w:space="0" w:color="auto"/>
        <w:bottom w:val="none" w:sz="0" w:space="0" w:color="auto"/>
        <w:right w:val="none" w:sz="0" w:space="0" w:color="auto"/>
      </w:divBdr>
    </w:div>
    <w:div w:id="567501852">
      <w:bodyDiv w:val="1"/>
      <w:marLeft w:val="0"/>
      <w:marRight w:val="0"/>
      <w:marTop w:val="0"/>
      <w:marBottom w:val="0"/>
      <w:divBdr>
        <w:top w:val="none" w:sz="0" w:space="0" w:color="auto"/>
        <w:left w:val="none" w:sz="0" w:space="0" w:color="auto"/>
        <w:bottom w:val="none" w:sz="0" w:space="0" w:color="auto"/>
        <w:right w:val="none" w:sz="0" w:space="0" w:color="auto"/>
      </w:divBdr>
    </w:div>
    <w:div w:id="919170556">
      <w:bodyDiv w:val="1"/>
      <w:marLeft w:val="0"/>
      <w:marRight w:val="0"/>
      <w:marTop w:val="0"/>
      <w:marBottom w:val="0"/>
      <w:divBdr>
        <w:top w:val="none" w:sz="0" w:space="0" w:color="auto"/>
        <w:left w:val="none" w:sz="0" w:space="0" w:color="auto"/>
        <w:bottom w:val="none" w:sz="0" w:space="0" w:color="auto"/>
        <w:right w:val="none" w:sz="0" w:space="0" w:color="auto"/>
      </w:divBdr>
    </w:div>
    <w:div w:id="1199780856">
      <w:bodyDiv w:val="1"/>
      <w:marLeft w:val="0"/>
      <w:marRight w:val="0"/>
      <w:marTop w:val="0"/>
      <w:marBottom w:val="0"/>
      <w:divBdr>
        <w:top w:val="none" w:sz="0" w:space="0" w:color="auto"/>
        <w:left w:val="none" w:sz="0" w:space="0" w:color="auto"/>
        <w:bottom w:val="none" w:sz="0" w:space="0" w:color="auto"/>
        <w:right w:val="none" w:sz="0" w:space="0" w:color="auto"/>
      </w:divBdr>
      <w:divsChild>
        <w:div w:id="55858280">
          <w:marLeft w:val="0"/>
          <w:marRight w:val="0"/>
          <w:marTop w:val="0"/>
          <w:marBottom w:val="0"/>
          <w:divBdr>
            <w:top w:val="none" w:sz="0" w:space="0" w:color="auto"/>
            <w:left w:val="none" w:sz="0" w:space="0" w:color="auto"/>
            <w:bottom w:val="none" w:sz="0" w:space="0" w:color="auto"/>
            <w:right w:val="none" w:sz="0" w:space="0" w:color="auto"/>
          </w:divBdr>
        </w:div>
      </w:divsChild>
    </w:div>
    <w:div w:id="1216117434">
      <w:bodyDiv w:val="1"/>
      <w:marLeft w:val="0"/>
      <w:marRight w:val="0"/>
      <w:marTop w:val="0"/>
      <w:marBottom w:val="0"/>
      <w:divBdr>
        <w:top w:val="none" w:sz="0" w:space="0" w:color="auto"/>
        <w:left w:val="none" w:sz="0" w:space="0" w:color="auto"/>
        <w:bottom w:val="none" w:sz="0" w:space="0" w:color="auto"/>
        <w:right w:val="none" w:sz="0" w:space="0" w:color="auto"/>
      </w:divBdr>
    </w:div>
    <w:div w:id="1529753883">
      <w:bodyDiv w:val="1"/>
      <w:marLeft w:val="0"/>
      <w:marRight w:val="0"/>
      <w:marTop w:val="0"/>
      <w:marBottom w:val="0"/>
      <w:divBdr>
        <w:top w:val="none" w:sz="0" w:space="0" w:color="auto"/>
        <w:left w:val="none" w:sz="0" w:space="0" w:color="auto"/>
        <w:bottom w:val="none" w:sz="0" w:space="0" w:color="auto"/>
        <w:right w:val="none" w:sz="0" w:space="0" w:color="auto"/>
      </w:divBdr>
    </w:div>
    <w:div w:id="15359181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Classic">
      <a:maj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9</Pages>
  <Words>835</Words>
  <Characters>4598</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dc:creator>
  <cp:lastModifiedBy>Antoine Boubault</cp:lastModifiedBy>
  <cp:revision>6</cp:revision>
  <dcterms:created xsi:type="dcterms:W3CDTF">2019-01-08T16:01:00Z</dcterms:created>
  <dcterms:modified xsi:type="dcterms:W3CDTF">2019-01-11T16:06:00Z</dcterms:modified>
</cp:coreProperties>
</file>