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35286" w14:textId="1493B9F3" w:rsidR="009A3C06" w:rsidRPr="009A3C06" w:rsidRDefault="009A3C06" w:rsidP="009A3C06">
      <w:pPr>
        <w:pStyle w:val="MDPI11articletype"/>
      </w:pPr>
      <w:r>
        <w:t>Supplementary materials</w:t>
      </w:r>
    </w:p>
    <w:p w14:paraId="56F1A5C9" w14:textId="77777777" w:rsidR="009A3C06" w:rsidRPr="00C207B2" w:rsidRDefault="009A3C06" w:rsidP="009A3C06">
      <w:pPr>
        <w:pStyle w:val="MDPI12title"/>
        <w:tabs>
          <w:tab w:val="left" w:pos="2687"/>
        </w:tabs>
        <w:spacing w:line="240" w:lineRule="atLeast"/>
      </w:pPr>
      <w:r w:rsidRPr="007B224B">
        <w:t>Composition of intracellular and cell wall-bound phlorotannin fractions in fucoid algae indicates specific functions of these metabolites dependent on the chemical structure</w:t>
      </w:r>
    </w:p>
    <w:p w14:paraId="0F71F853" w14:textId="77777777" w:rsidR="009A3C06" w:rsidRPr="00C207B2" w:rsidRDefault="009A3C06" w:rsidP="009A3C06">
      <w:pPr>
        <w:pStyle w:val="MDPI13authornames"/>
      </w:pPr>
      <w:r w:rsidRPr="007B224B">
        <w:t xml:space="preserve">Claudia </w:t>
      </w:r>
      <w:proofErr w:type="spellStart"/>
      <w:r w:rsidRPr="007B224B">
        <w:t>Birkemeyer</w:t>
      </w:r>
      <w:proofErr w:type="spellEnd"/>
      <w:r w:rsidRPr="00C207B2">
        <w:t xml:space="preserve"> </w:t>
      </w:r>
      <w:proofErr w:type="gramStart"/>
      <w:r w:rsidRPr="00C207B2">
        <w:rPr>
          <w:vertAlign w:val="superscript"/>
        </w:rPr>
        <w:t>1,</w:t>
      </w:r>
      <w:r w:rsidRPr="00C207B2">
        <w:t>*</w:t>
      </w:r>
      <w:proofErr w:type="gramEnd"/>
      <w:r w:rsidRPr="00C207B2">
        <w:t xml:space="preserve">, </w:t>
      </w:r>
      <w:proofErr w:type="spellStart"/>
      <w:r w:rsidRPr="007B224B">
        <w:t>Valeriya</w:t>
      </w:r>
      <w:proofErr w:type="spellEnd"/>
      <w:r w:rsidRPr="007B224B">
        <w:t xml:space="preserve"> </w:t>
      </w:r>
      <w:proofErr w:type="spellStart"/>
      <w:r w:rsidRPr="007B224B">
        <w:t>Lemesheva</w:t>
      </w:r>
      <w:proofErr w:type="spellEnd"/>
      <w:r w:rsidRPr="00C207B2">
        <w:t xml:space="preserve"> </w:t>
      </w:r>
      <w:r w:rsidRPr="00C207B2">
        <w:rPr>
          <w:vertAlign w:val="superscript"/>
        </w:rPr>
        <w:t>2</w:t>
      </w:r>
      <w:r>
        <w:t xml:space="preserve">, </w:t>
      </w:r>
      <w:r w:rsidRPr="007B224B">
        <w:t xml:space="preserve">Susan </w:t>
      </w:r>
      <w:proofErr w:type="spellStart"/>
      <w:r w:rsidRPr="007B224B">
        <w:t>Billig</w:t>
      </w:r>
      <w:proofErr w:type="spellEnd"/>
      <w:r w:rsidRPr="007B224B">
        <w:t xml:space="preserve"> </w:t>
      </w:r>
      <w:r w:rsidRPr="007B224B">
        <w:rPr>
          <w:vertAlign w:val="superscript"/>
        </w:rPr>
        <w:t>1</w:t>
      </w:r>
      <w:r w:rsidRPr="00C207B2">
        <w:t xml:space="preserve"> and </w:t>
      </w:r>
      <w:r w:rsidRPr="007B224B">
        <w:t>Elena Tarakhovskaya</w:t>
      </w:r>
      <w:r w:rsidRPr="00C207B2">
        <w:t xml:space="preserve"> </w:t>
      </w:r>
      <w:r w:rsidRPr="00C207B2">
        <w:rPr>
          <w:vertAlign w:val="superscript"/>
        </w:rPr>
        <w:t>2,</w:t>
      </w:r>
      <w:r>
        <w:rPr>
          <w:vertAlign w:val="superscript"/>
        </w:rPr>
        <w:t>3,</w:t>
      </w:r>
      <w:r w:rsidRPr="00C207B2">
        <w:t>*</w:t>
      </w:r>
    </w:p>
    <w:p w14:paraId="225035A3" w14:textId="22532D44" w:rsidR="009A3C06" w:rsidRPr="00C207B2" w:rsidRDefault="009A3C06" w:rsidP="009A3C06">
      <w:pPr>
        <w:pStyle w:val="MDPI16affiliation"/>
      </w:pPr>
      <w:r w:rsidRPr="00C207B2">
        <w:rPr>
          <w:vertAlign w:val="superscript"/>
        </w:rPr>
        <w:t>1</w:t>
      </w:r>
      <w:r w:rsidRPr="00C207B2">
        <w:tab/>
      </w:r>
      <w:r w:rsidRPr="007B224B">
        <w:t>Faculty of Chemistry and Mineralogy, University of Leipzig, 04103 Leipzig, Germany</w:t>
      </w:r>
    </w:p>
    <w:p w14:paraId="7A266B81" w14:textId="2A19C532" w:rsidR="009A3C06" w:rsidRDefault="009A3C06" w:rsidP="009A3C06">
      <w:pPr>
        <w:pStyle w:val="MDPI16affiliation"/>
      </w:pPr>
      <w:r w:rsidRPr="00C207B2">
        <w:rPr>
          <w:szCs w:val="20"/>
          <w:vertAlign w:val="superscript"/>
        </w:rPr>
        <w:t>2</w:t>
      </w:r>
      <w:r w:rsidRPr="00C207B2">
        <w:rPr>
          <w:szCs w:val="20"/>
        </w:rPr>
        <w:tab/>
      </w:r>
      <w:r w:rsidRPr="007B224B">
        <w:rPr>
          <w:szCs w:val="20"/>
        </w:rPr>
        <w:t>Department of Plant Physiology and Biochemistry, Faculty of Biology, St. Petersburg State University, 199034 St. Petersburg, Russia</w:t>
      </w:r>
    </w:p>
    <w:p w14:paraId="5A2E1D99" w14:textId="719E3D17" w:rsidR="009A3C06" w:rsidRPr="00C207B2" w:rsidRDefault="009A3C06" w:rsidP="00C77F4F">
      <w:pPr>
        <w:pStyle w:val="MDPI16affiliation"/>
      </w:pPr>
      <w:r>
        <w:rPr>
          <w:szCs w:val="20"/>
          <w:vertAlign w:val="superscript"/>
        </w:rPr>
        <w:t>3</w:t>
      </w:r>
      <w:r w:rsidRPr="00C207B2">
        <w:rPr>
          <w:szCs w:val="20"/>
        </w:rPr>
        <w:tab/>
      </w:r>
      <w:r w:rsidRPr="00A80642">
        <w:rPr>
          <w:szCs w:val="20"/>
        </w:rPr>
        <w:t>Department of Scientific Information, Russian Academy of Sciences Library, 199034 St. Petersburg, Russia</w:t>
      </w:r>
      <w:r w:rsidRPr="00C207B2">
        <w:rPr>
          <w:szCs w:val="20"/>
        </w:rPr>
        <w:t xml:space="preserve">; </w:t>
      </w:r>
      <w:r w:rsidRPr="00C77F4F">
        <w:t>elena.tarakhovskaya@gmail.com</w:t>
      </w:r>
    </w:p>
    <w:p w14:paraId="3632567E" w14:textId="4A47EF2A" w:rsidR="009A3C06" w:rsidRPr="00C207B2" w:rsidRDefault="009A3C06" w:rsidP="009A3C06">
      <w:pPr>
        <w:pStyle w:val="MDPI14history"/>
        <w:spacing w:before="0"/>
        <w:ind w:left="311" w:hanging="198"/>
      </w:pPr>
      <w:r w:rsidRPr="00C207B2">
        <w:rPr>
          <w:b/>
        </w:rPr>
        <w:t>*</w:t>
      </w:r>
      <w:r w:rsidRPr="00C207B2">
        <w:tab/>
        <w:t xml:space="preserve">Correspondence: </w:t>
      </w:r>
      <w:r w:rsidRPr="00C77F4F">
        <w:t>birkemeyer@chemie.uni-leipzig.de</w:t>
      </w:r>
      <w:r>
        <w:t xml:space="preserve"> (C.B.)</w:t>
      </w:r>
      <w:r w:rsidRPr="00C207B2">
        <w:t xml:space="preserve">; </w:t>
      </w:r>
      <w:r w:rsidRPr="00C77F4F">
        <w:t>elena.tarakhovskaya@gmail.com</w:t>
      </w:r>
      <w:r>
        <w:t xml:space="preserve"> (E.T.)</w:t>
      </w:r>
    </w:p>
    <w:p w14:paraId="1B98C3CD" w14:textId="06847652" w:rsidR="00830C50" w:rsidRPr="00C207B2" w:rsidRDefault="009A3C06" w:rsidP="00830C50">
      <w:pPr>
        <w:pStyle w:val="MDPI21heading1"/>
        <w:spacing w:before="480"/>
        <w:rPr>
          <w:lang w:eastAsia="zh-CN"/>
        </w:rPr>
      </w:pPr>
      <w:r>
        <w:rPr>
          <w:lang w:eastAsia="zh-CN"/>
        </w:rPr>
        <w:t>1</w:t>
      </w:r>
      <w:r w:rsidR="00830C50" w:rsidRPr="00C207B2">
        <w:rPr>
          <w:lang w:eastAsia="zh-CN"/>
        </w:rPr>
        <w:t xml:space="preserve">. </w:t>
      </w:r>
      <w:r w:rsidRPr="009A3C06">
        <w:rPr>
          <w:lang w:eastAsia="zh-CN"/>
        </w:rPr>
        <w:t>Approaches for identification of multiple phlorotannin series in the algae</w:t>
      </w:r>
    </w:p>
    <w:p w14:paraId="1A4F5AC8" w14:textId="1EF034D0" w:rsidR="009A3C06" w:rsidRDefault="009A3C06" w:rsidP="009A3C06">
      <w:pPr>
        <w:pStyle w:val="MDPI31text"/>
        <w:rPr>
          <w:lang w:val="en-CA" w:eastAsia="zh-CN"/>
        </w:rPr>
      </w:pPr>
      <w:r w:rsidRPr="009A3C06">
        <w:rPr>
          <w:lang w:val="en-CA" w:eastAsia="zh-CN"/>
        </w:rPr>
        <w:t xml:space="preserve">In a first approach, we manually searched for phlorotannin series in the LC-MS chromatograms by the expected 124 u-difference between the molecules of ascending degree of polymerization. Other series not matching this phlorotannin building block such as those with a difference of 14 u, were not further analyzed. The corresponding </w:t>
      </w:r>
      <w:r w:rsidRPr="009A3C06">
        <w:rPr>
          <w:i/>
          <w:lang w:val="en-CA" w:eastAsia="zh-CN"/>
        </w:rPr>
        <w:t>m/z</w:t>
      </w:r>
      <w:r w:rsidRPr="009A3C06">
        <w:rPr>
          <w:lang w:val="en-CA" w:eastAsia="zh-CN"/>
        </w:rPr>
        <w:t xml:space="preserve"> series were filed and then only matched to a tentative, basic chemical structure; thus, these series are the most abundant ones and were subjected to quantification in the following. Chromatograms of all algal species and zones were further manually searched to find and identify the minimum (2-3 for the intracellular and 5 for the cell wall-bound phenolics) and maximum degree of polymerization (DP) independent of the specific series (Table S1); however, since the </w:t>
      </w:r>
      <w:proofErr w:type="spellStart"/>
      <w:r w:rsidRPr="009A3C06">
        <w:rPr>
          <w:lang w:val="en-CA" w:eastAsia="zh-CN"/>
        </w:rPr>
        <w:t>fucol</w:t>
      </w:r>
      <w:proofErr w:type="spellEnd"/>
      <w:r w:rsidRPr="009A3C06">
        <w:rPr>
          <w:lang w:val="en-CA" w:eastAsia="zh-CN"/>
        </w:rPr>
        <w:t>/</w:t>
      </w:r>
      <w:proofErr w:type="spellStart"/>
      <w:r w:rsidRPr="009A3C06">
        <w:rPr>
          <w:lang w:val="en-CA" w:eastAsia="zh-CN"/>
        </w:rPr>
        <w:t>phlorethol</w:t>
      </w:r>
      <w:proofErr w:type="spellEnd"/>
      <w:r w:rsidRPr="009A3C06">
        <w:rPr>
          <w:lang w:val="en-CA" w:eastAsia="zh-CN"/>
        </w:rPr>
        <w:t xml:space="preserve"> series was the most abundant we found the highest DP from this series.</w:t>
      </w:r>
    </w:p>
    <w:tbl>
      <w:tblPr>
        <w:tblpPr w:leftFromText="180" w:rightFromText="180" w:vertAnchor="text" w:horzAnchor="margin" w:tblpXSpec="center" w:tblpY="1379"/>
        <w:tblW w:w="0" w:type="auto"/>
        <w:tblLayout w:type="fixed"/>
        <w:tblLook w:val="0000" w:firstRow="0" w:lastRow="0" w:firstColumn="0" w:lastColumn="0" w:noHBand="0" w:noVBand="0"/>
      </w:tblPr>
      <w:tblGrid>
        <w:gridCol w:w="1934"/>
        <w:gridCol w:w="1323"/>
        <w:gridCol w:w="1384"/>
        <w:gridCol w:w="1418"/>
        <w:gridCol w:w="1417"/>
      </w:tblGrid>
      <w:tr w:rsidR="009A3C06" w:rsidRPr="009A3C06" w14:paraId="324BD495" w14:textId="77777777" w:rsidTr="009A3C06">
        <w:trPr>
          <w:trHeight w:val="290"/>
        </w:trPr>
        <w:tc>
          <w:tcPr>
            <w:tcW w:w="1934" w:type="dxa"/>
            <w:tcBorders>
              <w:top w:val="single" w:sz="12" w:space="0" w:color="auto"/>
              <w:left w:val="nil"/>
              <w:bottom w:val="single" w:sz="12" w:space="0" w:color="auto"/>
              <w:right w:val="nil"/>
            </w:tcBorders>
          </w:tcPr>
          <w:p w14:paraId="514B246B" w14:textId="77777777" w:rsidR="009A3C06" w:rsidRPr="009A3C06" w:rsidRDefault="009A3C06" w:rsidP="009A3C06">
            <w:pPr>
              <w:pStyle w:val="MDPI42tablebody"/>
              <w:jc w:val="left"/>
              <w:rPr>
                <w:b/>
                <w:bCs/>
                <w:lang w:val="en-GB" w:eastAsia="en-US"/>
              </w:rPr>
            </w:pPr>
            <w:r w:rsidRPr="009A3C06">
              <w:rPr>
                <w:b/>
                <w:bCs/>
                <w:lang w:val="en-GB" w:eastAsia="en-US"/>
              </w:rPr>
              <w:t>Species/fraction</w:t>
            </w:r>
          </w:p>
        </w:tc>
        <w:tc>
          <w:tcPr>
            <w:tcW w:w="1323" w:type="dxa"/>
            <w:tcBorders>
              <w:top w:val="single" w:sz="12" w:space="0" w:color="auto"/>
              <w:left w:val="nil"/>
              <w:bottom w:val="single" w:sz="12" w:space="0" w:color="auto"/>
              <w:right w:val="nil"/>
            </w:tcBorders>
          </w:tcPr>
          <w:p w14:paraId="4AC0FA29" w14:textId="77777777" w:rsidR="009A3C06" w:rsidRPr="009A3C06" w:rsidRDefault="009A3C06" w:rsidP="009A3C06">
            <w:pPr>
              <w:pStyle w:val="MDPI42tablebody"/>
              <w:jc w:val="left"/>
              <w:rPr>
                <w:b/>
                <w:bCs/>
                <w:lang w:val="en-GB" w:eastAsia="en-US"/>
              </w:rPr>
            </w:pPr>
            <w:r w:rsidRPr="009A3C06">
              <w:rPr>
                <w:b/>
                <w:bCs/>
                <w:lang w:val="en-GB" w:eastAsia="en-US"/>
              </w:rPr>
              <w:t>stipe</w:t>
            </w:r>
          </w:p>
        </w:tc>
        <w:tc>
          <w:tcPr>
            <w:tcW w:w="1384" w:type="dxa"/>
            <w:tcBorders>
              <w:top w:val="single" w:sz="12" w:space="0" w:color="auto"/>
              <w:left w:val="nil"/>
              <w:bottom w:val="single" w:sz="12" w:space="0" w:color="auto"/>
              <w:right w:val="nil"/>
            </w:tcBorders>
          </w:tcPr>
          <w:p w14:paraId="6849C6D7" w14:textId="77777777" w:rsidR="009A3C06" w:rsidRPr="009A3C06" w:rsidRDefault="009A3C06" w:rsidP="009A3C06">
            <w:pPr>
              <w:pStyle w:val="MDPI42tablebody"/>
              <w:jc w:val="left"/>
              <w:rPr>
                <w:b/>
                <w:bCs/>
                <w:lang w:val="en-GB" w:eastAsia="en-US"/>
              </w:rPr>
            </w:pPr>
            <w:r w:rsidRPr="009A3C06">
              <w:rPr>
                <w:b/>
                <w:bCs/>
                <w:lang w:val="en-GB" w:eastAsia="en-US"/>
              </w:rPr>
              <w:t>blades</w:t>
            </w:r>
          </w:p>
        </w:tc>
        <w:tc>
          <w:tcPr>
            <w:tcW w:w="1418" w:type="dxa"/>
            <w:tcBorders>
              <w:top w:val="single" w:sz="12" w:space="0" w:color="auto"/>
              <w:left w:val="nil"/>
              <w:bottom w:val="single" w:sz="12" w:space="0" w:color="auto"/>
              <w:right w:val="nil"/>
            </w:tcBorders>
          </w:tcPr>
          <w:p w14:paraId="715E1F09" w14:textId="77777777" w:rsidR="009A3C06" w:rsidRPr="009A3C06" w:rsidRDefault="009A3C06" w:rsidP="009A3C06">
            <w:pPr>
              <w:pStyle w:val="MDPI42tablebody"/>
              <w:jc w:val="left"/>
              <w:rPr>
                <w:b/>
                <w:bCs/>
                <w:lang w:val="en-GB" w:eastAsia="en-US"/>
              </w:rPr>
            </w:pPr>
            <w:r w:rsidRPr="009A3C06">
              <w:rPr>
                <w:b/>
                <w:bCs/>
                <w:lang w:val="en-GB" w:eastAsia="en-US"/>
              </w:rPr>
              <w:t>apices</w:t>
            </w:r>
          </w:p>
        </w:tc>
        <w:tc>
          <w:tcPr>
            <w:tcW w:w="1417" w:type="dxa"/>
            <w:tcBorders>
              <w:top w:val="single" w:sz="12" w:space="0" w:color="auto"/>
              <w:left w:val="nil"/>
              <w:bottom w:val="single" w:sz="12" w:space="0" w:color="auto"/>
              <w:right w:val="nil"/>
            </w:tcBorders>
          </w:tcPr>
          <w:p w14:paraId="42D9A2EA" w14:textId="77777777" w:rsidR="009A3C06" w:rsidRPr="009A3C06" w:rsidRDefault="009A3C06" w:rsidP="009A3C06">
            <w:pPr>
              <w:pStyle w:val="MDPI42tablebody"/>
              <w:jc w:val="left"/>
              <w:rPr>
                <w:b/>
                <w:bCs/>
                <w:lang w:val="en-GB" w:eastAsia="en-US"/>
              </w:rPr>
            </w:pPr>
            <w:r w:rsidRPr="009A3C06">
              <w:rPr>
                <w:b/>
                <w:bCs/>
                <w:lang w:val="en-GB" w:eastAsia="en-US"/>
              </w:rPr>
              <w:t>receptacles</w:t>
            </w:r>
          </w:p>
        </w:tc>
      </w:tr>
      <w:tr w:rsidR="009A3C06" w:rsidRPr="009A3C06" w14:paraId="4CEC31DF" w14:textId="77777777" w:rsidTr="009A3C06">
        <w:trPr>
          <w:trHeight w:val="290"/>
        </w:trPr>
        <w:tc>
          <w:tcPr>
            <w:tcW w:w="1934" w:type="dxa"/>
            <w:tcBorders>
              <w:top w:val="single" w:sz="12" w:space="0" w:color="auto"/>
              <w:left w:val="nil"/>
              <w:bottom w:val="nil"/>
              <w:right w:val="nil"/>
            </w:tcBorders>
          </w:tcPr>
          <w:p w14:paraId="22272F59" w14:textId="77777777" w:rsidR="009A3C06" w:rsidRPr="009A3C06" w:rsidRDefault="009A3C06" w:rsidP="009A3C06">
            <w:pPr>
              <w:pStyle w:val="MDPI42tablebody"/>
              <w:jc w:val="left"/>
              <w:rPr>
                <w:b/>
                <w:bCs/>
                <w:lang w:val="en-GB" w:eastAsia="en-US"/>
              </w:rPr>
            </w:pPr>
            <w:r w:rsidRPr="009A3C06">
              <w:rPr>
                <w:b/>
                <w:bCs/>
                <w:lang w:val="en-GB" w:eastAsia="en-US"/>
              </w:rPr>
              <w:t>Intracellular</w:t>
            </w:r>
          </w:p>
        </w:tc>
        <w:tc>
          <w:tcPr>
            <w:tcW w:w="1323" w:type="dxa"/>
            <w:tcBorders>
              <w:top w:val="single" w:sz="12" w:space="0" w:color="auto"/>
              <w:left w:val="nil"/>
              <w:bottom w:val="nil"/>
              <w:right w:val="nil"/>
            </w:tcBorders>
          </w:tcPr>
          <w:p w14:paraId="54502D4B" w14:textId="77777777" w:rsidR="009A3C06" w:rsidRPr="009A3C06" w:rsidRDefault="009A3C06" w:rsidP="009A3C06">
            <w:pPr>
              <w:pStyle w:val="MDPI42tablebody"/>
              <w:rPr>
                <w:lang w:val="en-GB" w:eastAsia="en-US"/>
              </w:rPr>
            </w:pPr>
          </w:p>
        </w:tc>
        <w:tc>
          <w:tcPr>
            <w:tcW w:w="1384" w:type="dxa"/>
            <w:tcBorders>
              <w:top w:val="single" w:sz="12" w:space="0" w:color="auto"/>
              <w:left w:val="nil"/>
              <w:bottom w:val="nil"/>
              <w:right w:val="nil"/>
            </w:tcBorders>
          </w:tcPr>
          <w:p w14:paraId="22E6666C" w14:textId="77777777" w:rsidR="009A3C06" w:rsidRPr="009A3C06" w:rsidRDefault="009A3C06" w:rsidP="009A3C06">
            <w:pPr>
              <w:pStyle w:val="MDPI42tablebody"/>
              <w:rPr>
                <w:lang w:val="en-GB" w:eastAsia="en-US"/>
              </w:rPr>
            </w:pPr>
          </w:p>
        </w:tc>
        <w:tc>
          <w:tcPr>
            <w:tcW w:w="1418" w:type="dxa"/>
            <w:tcBorders>
              <w:top w:val="single" w:sz="12" w:space="0" w:color="auto"/>
              <w:left w:val="nil"/>
              <w:bottom w:val="nil"/>
              <w:right w:val="nil"/>
            </w:tcBorders>
          </w:tcPr>
          <w:p w14:paraId="7BF3FE58" w14:textId="77777777" w:rsidR="009A3C06" w:rsidRPr="009A3C06" w:rsidRDefault="009A3C06" w:rsidP="009A3C06">
            <w:pPr>
              <w:pStyle w:val="MDPI42tablebody"/>
              <w:rPr>
                <w:lang w:val="en-GB" w:eastAsia="en-US"/>
              </w:rPr>
            </w:pPr>
          </w:p>
        </w:tc>
        <w:tc>
          <w:tcPr>
            <w:tcW w:w="1417" w:type="dxa"/>
            <w:tcBorders>
              <w:top w:val="single" w:sz="12" w:space="0" w:color="auto"/>
              <w:left w:val="nil"/>
              <w:bottom w:val="nil"/>
              <w:right w:val="nil"/>
            </w:tcBorders>
          </w:tcPr>
          <w:p w14:paraId="5A717040" w14:textId="77777777" w:rsidR="009A3C06" w:rsidRPr="009A3C06" w:rsidRDefault="009A3C06" w:rsidP="009A3C06">
            <w:pPr>
              <w:pStyle w:val="MDPI42tablebody"/>
              <w:rPr>
                <w:lang w:val="en-GB" w:eastAsia="en-US"/>
              </w:rPr>
            </w:pPr>
          </w:p>
        </w:tc>
      </w:tr>
      <w:tr w:rsidR="009A3C06" w:rsidRPr="009A3C06" w14:paraId="40E01617" w14:textId="77777777" w:rsidTr="009A3C06">
        <w:trPr>
          <w:trHeight w:val="290"/>
        </w:trPr>
        <w:tc>
          <w:tcPr>
            <w:tcW w:w="1934" w:type="dxa"/>
            <w:tcBorders>
              <w:top w:val="nil"/>
              <w:left w:val="nil"/>
              <w:bottom w:val="nil"/>
              <w:right w:val="nil"/>
            </w:tcBorders>
          </w:tcPr>
          <w:p w14:paraId="1C422410" w14:textId="77777777" w:rsidR="009A3C06" w:rsidRPr="009A3C06" w:rsidRDefault="009A3C06" w:rsidP="009A3C06">
            <w:pPr>
              <w:pStyle w:val="MDPI42tablebody"/>
              <w:jc w:val="left"/>
              <w:rPr>
                <w:i/>
                <w:lang w:val="en-GB" w:eastAsia="en-US"/>
              </w:rPr>
            </w:pPr>
            <w:r w:rsidRPr="009A3C06">
              <w:rPr>
                <w:i/>
                <w:lang w:val="en-GB" w:eastAsia="en-US"/>
              </w:rPr>
              <w:t>F. serratus</w:t>
            </w:r>
          </w:p>
        </w:tc>
        <w:tc>
          <w:tcPr>
            <w:tcW w:w="1323" w:type="dxa"/>
            <w:tcBorders>
              <w:top w:val="nil"/>
              <w:left w:val="nil"/>
              <w:bottom w:val="nil"/>
              <w:right w:val="nil"/>
            </w:tcBorders>
          </w:tcPr>
          <w:p w14:paraId="306E2A71" w14:textId="77777777" w:rsidR="009A3C06" w:rsidRPr="009A3C06" w:rsidRDefault="009A3C06" w:rsidP="009A3C06">
            <w:pPr>
              <w:pStyle w:val="MDPI42tablebody"/>
              <w:jc w:val="left"/>
              <w:rPr>
                <w:lang w:val="en-GB" w:eastAsia="en-US"/>
              </w:rPr>
            </w:pPr>
            <w:r w:rsidRPr="009A3C06">
              <w:rPr>
                <w:lang w:val="en-GB" w:eastAsia="en-US"/>
              </w:rPr>
              <w:t>13 (18)</w:t>
            </w:r>
          </w:p>
        </w:tc>
        <w:tc>
          <w:tcPr>
            <w:tcW w:w="1384" w:type="dxa"/>
            <w:tcBorders>
              <w:top w:val="nil"/>
              <w:left w:val="nil"/>
              <w:bottom w:val="nil"/>
              <w:right w:val="nil"/>
            </w:tcBorders>
          </w:tcPr>
          <w:p w14:paraId="0D5F0679" w14:textId="77777777" w:rsidR="009A3C06" w:rsidRPr="009A3C06" w:rsidRDefault="009A3C06" w:rsidP="009A3C06">
            <w:pPr>
              <w:pStyle w:val="MDPI42tablebody"/>
              <w:jc w:val="left"/>
              <w:rPr>
                <w:lang w:val="en-GB" w:eastAsia="en-US"/>
              </w:rPr>
            </w:pPr>
            <w:r w:rsidRPr="009A3C06">
              <w:rPr>
                <w:lang w:val="en-GB" w:eastAsia="en-US"/>
              </w:rPr>
              <w:t>16 (25) [35]</w:t>
            </w:r>
          </w:p>
        </w:tc>
        <w:tc>
          <w:tcPr>
            <w:tcW w:w="1418" w:type="dxa"/>
            <w:tcBorders>
              <w:top w:val="nil"/>
              <w:left w:val="nil"/>
              <w:bottom w:val="nil"/>
              <w:right w:val="nil"/>
            </w:tcBorders>
          </w:tcPr>
          <w:p w14:paraId="11880622" w14:textId="77777777" w:rsidR="009A3C06" w:rsidRPr="009A3C06" w:rsidRDefault="009A3C06" w:rsidP="009A3C06">
            <w:pPr>
              <w:pStyle w:val="MDPI42tablebody"/>
              <w:jc w:val="left"/>
              <w:rPr>
                <w:lang w:val="en-GB" w:eastAsia="en-US"/>
              </w:rPr>
            </w:pPr>
            <w:r w:rsidRPr="009A3C06">
              <w:rPr>
                <w:lang w:val="en-GB" w:eastAsia="en-US"/>
              </w:rPr>
              <w:t>16 (26) [37]</w:t>
            </w:r>
          </w:p>
        </w:tc>
        <w:tc>
          <w:tcPr>
            <w:tcW w:w="1417" w:type="dxa"/>
            <w:tcBorders>
              <w:top w:val="nil"/>
              <w:left w:val="nil"/>
              <w:bottom w:val="nil"/>
              <w:right w:val="nil"/>
            </w:tcBorders>
          </w:tcPr>
          <w:p w14:paraId="2A600658" w14:textId="77777777" w:rsidR="009A3C06" w:rsidRPr="009A3C06" w:rsidRDefault="009A3C06" w:rsidP="009A3C06">
            <w:pPr>
              <w:pStyle w:val="MDPI42tablebody"/>
              <w:jc w:val="left"/>
              <w:rPr>
                <w:lang w:val="en-GB" w:eastAsia="en-US"/>
              </w:rPr>
            </w:pPr>
            <w:r w:rsidRPr="009A3C06">
              <w:rPr>
                <w:lang w:val="en-GB" w:eastAsia="en-US"/>
              </w:rPr>
              <w:t>15 (23) [31]</w:t>
            </w:r>
          </w:p>
        </w:tc>
      </w:tr>
      <w:tr w:rsidR="009A3C06" w:rsidRPr="009A3C06" w14:paraId="4A6E363B" w14:textId="77777777" w:rsidTr="009A3C06">
        <w:trPr>
          <w:trHeight w:val="290"/>
        </w:trPr>
        <w:tc>
          <w:tcPr>
            <w:tcW w:w="1934" w:type="dxa"/>
            <w:tcBorders>
              <w:top w:val="nil"/>
              <w:left w:val="nil"/>
              <w:bottom w:val="nil"/>
              <w:right w:val="nil"/>
            </w:tcBorders>
          </w:tcPr>
          <w:p w14:paraId="6FBC4C11" w14:textId="77777777" w:rsidR="009A3C06" w:rsidRPr="009A3C06" w:rsidRDefault="009A3C06" w:rsidP="009A3C06">
            <w:pPr>
              <w:pStyle w:val="MDPI42tablebody"/>
              <w:jc w:val="left"/>
              <w:rPr>
                <w:i/>
                <w:lang w:val="en-GB" w:eastAsia="en-US"/>
              </w:rPr>
            </w:pPr>
            <w:r w:rsidRPr="009A3C06">
              <w:rPr>
                <w:i/>
                <w:lang w:val="en-GB" w:eastAsia="en-US"/>
              </w:rPr>
              <w:t xml:space="preserve">F. </w:t>
            </w:r>
            <w:proofErr w:type="spellStart"/>
            <w:r w:rsidRPr="009A3C06">
              <w:rPr>
                <w:i/>
                <w:lang w:val="en-GB" w:eastAsia="en-US"/>
              </w:rPr>
              <w:t>vesiculosus</w:t>
            </w:r>
            <w:proofErr w:type="spellEnd"/>
          </w:p>
        </w:tc>
        <w:tc>
          <w:tcPr>
            <w:tcW w:w="1323" w:type="dxa"/>
            <w:tcBorders>
              <w:top w:val="nil"/>
              <w:left w:val="nil"/>
              <w:bottom w:val="nil"/>
              <w:right w:val="nil"/>
            </w:tcBorders>
          </w:tcPr>
          <w:p w14:paraId="25BF0E9B" w14:textId="77777777" w:rsidR="009A3C06" w:rsidRPr="009A3C06" w:rsidRDefault="009A3C06" w:rsidP="009A3C06">
            <w:pPr>
              <w:pStyle w:val="MDPI42tablebody"/>
              <w:jc w:val="left"/>
              <w:rPr>
                <w:lang w:val="en-GB" w:eastAsia="en-US"/>
              </w:rPr>
            </w:pPr>
            <w:r w:rsidRPr="009A3C06">
              <w:rPr>
                <w:lang w:val="en-GB" w:eastAsia="en-US"/>
              </w:rPr>
              <w:t>15 (21)</w:t>
            </w:r>
          </w:p>
        </w:tc>
        <w:tc>
          <w:tcPr>
            <w:tcW w:w="1384" w:type="dxa"/>
            <w:tcBorders>
              <w:top w:val="nil"/>
              <w:left w:val="nil"/>
              <w:bottom w:val="nil"/>
              <w:right w:val="nil"/>
            </w:tcBorders>
          </w:tcPr>
          <w:p w14:paraId="2DA00F79" w14:textId="77777777" w:rsidR="009A3C06" w:rsidRPr="009A3C06" w:rsidRDefault="009A3C06" w:rsidP="009A3C06">
            <w:pPr>
              <w:pStyle w:val="MDPI42tablebody"/>
              <w:jc w:val="left"/>
              <w:rPr>
                <w:lang w:val="en-GB" w:eastAsia="en-US"/>
              </w:rPr>
            </w:pPr>
            <w:r w:rsidRPr="009A3C06">
              <w:rPr>
                <w:lang w:val="en-GB" w:eastAsia="en-US"/>
              </w:rPr>
              <w:t>14 (32)</w:t>
            </w:r>
          </w:p>
        </w:tc>
        <w:tc>
          <w:tcPr>
            <w:tcW w:w="1418" w:type="dxa"/>
            <w:tcBorders>
              <w:top w:val="nil"/>
              <w:left w:val="nil"/>
              <w:bottom w:val="nil"/>
              <w:right w:val="nil"/>
            </w:tcBorders>
          </w:tcPr>
          <w:p w14:paraId="707E7384" w14:textId="77777777" w:rsidR="009A3C06" w:rsidRPr="009A3C06" w:rsidRDefault="009A3C06" w:rsidP="009A3C06">
            <w:pPr>
              <w:pStyle w:val="MDPI42tablebody"/>
              <w:jc w:val="left"/>
              <w:rPr>
                <w:lang w:val="en-GB" w:eastAsia="en-US"/>
              </w:rPr>
            </w:pPr>
            <w:r w:rsidRPr="009A3C06">
              <w:rPr>
                <w:lang w:val="en-GB" w:eastAsia="en-US"/>
              </w:rPr>
              <w:t>13 (26)</w:t>
            </w:r>
          </w:p>
        </w:tc>
        <w:tc>
          <w:tcPr>
            <w:tcW w:w="1417" w:type="dxa"/>
            <w:tcBorders>
              <w:top w:val="nil"/>
              <w:left w:val="nil"/>
              <w:bottom w:val="nil"/>
              <w:right w:val="nil"/>
            </w:tcBorders>
          </w:tcPr>
          <w:p w14:paraId="3E2271A2" w14:textId="77777777" w:rsidR="009A3C06" w:rsidRPr="009A3C06" w:rsidRDefault="009A3C06" w:rsidP="009A3C06">
            <w:pPr>
              <w:pStyle w:val="MDPI42tablebody"/>
              <w:jc w:val="left"/>
              <w:rPr>
                <w:lang w:val="en-GB" w:eastAsia="en-US"/>
              </w:rPr>
            </w:pPr>
            <w:r w:rsidRPr="009A3C06">
              <w:rPr>
                <w:lang w:val="en-GB" w:eastAsia="en-US"/>
              </w:rPr>
              <w:t>13 (22)</w:t>
            </w:r>
          </w:p>
        </w:tc>
      </w:tr>
      <w:tr w:rsidR="009A3C06" w:rsidRPr="009A3C06" w14:paraId="75FD2968" w14:textId="77777777" w:rsidTr="009A3C06">
        <w:trPr>
          <w:trHeight w:val="290"/>
        </w:trPr>
        <w:tc>
          <w:tcPr>
            <w:tcW w:w="1934" w:type="dxa"/>
            <w:tcBorders>
              <w:top w:val="nil"/>
              <w:left w:val="nil"/>
              <w:bottom w:val="nil"/>
              <w:right w:val="nil"/>
            </w:tcBorders>
          </w:tcPr>
          <w:p w14:paraId="0123623C" w14:textId="77777777" w:rsidR="009A3C06" w:rsidRPr="009A3C06" w:rsidRDefault="009A3C06" w:rsidP="009A3C06">
            <w:pPr>
              <w:pStyle w:val="MDPI42tablebody"/>
              <w:jc w:val="left"/>
              <w:rPr>
                <w:i/>
                <w:lang w:val="en-GB" w:eastAsia="en-US"/>
              </w:rPr>
            </w:pPr>
            <w:r w:rsidRPr="009A3C06">
              <w:rPr>
                <w:i/>
                <w:lang w:val="en-GB" w:eastAsia="en-US"/>
              </w:rPr>
              <w:t xml:space="preserve">P. </w:t>
            </w:r>
            <w:proofErr w:type="spellStart"/>
            <w:r w:rsidRPr="009A3C06">
              <w:rPr>
                <w:i/>
                <w:lang w:val="en-GB" w:eastAsia="en-US"/>
              </w:rPr>
              <w:t>canaliculata</w:t>
            </w:r>
            <w:proofErr w:type="spellEnd"/>
          </w:p>
        </w:tc>
        <w:tc>
          <w:tcPr>
            <w:tcW w:w="1323" w:type="dxa"/>
            <w:tcBorders>
              <w:top w:val="nil"/>
              <w:left w:val="nil"/>
              <w:bottom w:val="nil"/>
              <w:right w:val="nil"/>
            </w:tcBorders>
          </w:tcPr>
          <w:p w14:paraId="457C4162" w14:textId="77777777" w:rsidR="009A3C06" w:rsidRPr="009A3C06" w:rsidRDefault="009A3C06" w:rsidP="009A3C06">
            <w:pPr>
              <w:pStyle w:val="MDPI42tablebody"/>
              <w:jc w:val="left"/>
              <w:rPr>
                <w:lang w:val="en-GB" w:eastAsia="en-US"/>
              </w:rPr>
            </w:pPr>
            <w:r w:rsidRPr="009A3C06">
              <w:rPr>
                <w:lang w:val="en-GB" w:eastAsia="en-US"/>
              </w:rPr>
              <w:t>14 (25)</w:t>
            </w:r>
          </w:p>
        </w:tc>
        <w:tc>
          <w:tcPr>
            <w:tcW w:w="1384" w:type="dxa"/>
            <w:tcBorders>
              <w:top w:val="nil"/>
              <w:left w:val="nil"/>
              <w:bottom w:val="nil"/>
              <w:right w:val="nil"/>
            </w:tcBorders>
          </w:tcPr>
          <w:p w14:paraId="4AE51F2C" w14:textId="77777777" w:rsidR="009A3C06" w:rsidRPr="00C77F4F" w:rsidRDefault="009A3C06" w:rsidP="009A3C06">
            <w:pPr>
              <w:pStyle w:val="MDPI42tablebody"/>
              <w:jc w:val="left"/>
              <w:rPr>
                <w:lang w:val="en-GB" w:eastAsia="en-US"/>
              </w:rPr>
            </w:pPr>
            <w:r w:rsidRPr="00C77F4F">
              <w:rPr>
                <w:lang w:val="en-GB" w:eastAsia="en-US"/>
              </w:rPr>
              <w:t>17 (28) [38]</w:t>
            </w:r>
          </w:p>
        </w:tc>
        <w:tc>
          <w:tcPr>
            <w:tcW w:w="1418" w:type="dxa"/>
            <w:tcBorders>
              <w:top w:val="nil"/>
              <w:left w:val="nil"/>
              <w:bottom w:val="nil"/>
              <w:right w:val="nil"/>
            </w:tcBorders>
          </w:tcPr>
          <w:p w14:paraId="52E9C6BB" w14:textId="77777777" w:rsidR="009A3C06" w:rsidRPr="00C77F4F" w:rsidRDefault="009A3C06" w:rsidP="009A3C06">
            <w:pPr>
              <w:pStyle w:val="MDPI42tablebody"/>
              <w:jc w:val="left"/>
              <w:rPr>
                <w:lang w:val="en-GB" w:eastAsia="en-US"/>
              </w:rPr>
            </w:pPr>
            <w:r w:rsidRPr="00C77F4F">
              <w:rPr>
                <w:lang w:val="en-GB" w:eastAsia="en-US"/>
              </w:rPr>
              <w:t>16 (29) [38]</w:t>
            </w:r>
          </w:p>
        </w:tc>
        <w:tc>
          <w:tcPr>
            <w:tcW w:w="1417" w:type="dxa"/>
            <w:tcBorders>
              <w:top w:val="nil"/>
              <w:left w:val="nil"/>
              <w:bottom w:val="nil"/>
              <w:right w:val="nil"/>
            </w:tcBorders>
          </w:tcPr>
          <w:p w14:paraId="6D79D56A" w14:textId="77777777" w:rsidR="009A3C06" w:rsidRPr="009A3C06" w:rsidRDefault="009A3C06" w:rsidP="009A3C06">
            <w:pPr>
              <w:pStyle w:val="MDPI42tablebody"/>
              <w:jc w:val="left"/>
              <w:rPr>
                <w:lang w:val="en-GB" w:eastAsia="en-US"/>
              </w:rPr>
            </w:pPr>
            <w:r w:rsidRPr="009A3C06">
              <w:rPr>
                <w:lang w:val="en-GB" w:eastAsia="en-US"/>
              </w:rPr>
              <w:t>14 (23) [31]</w:t>
            </w:r>
          </w:p>
        </w:tc>
      </w:tr>
      <w:tr w:rsidR="009A3C06" w:rsidRPr="009A3C06" w14:paraId="0B229561" w14:textId="77777777" w:rsidTr="009A3C06">
        <w:trPr>
          <w:trHeight w:val="290"/>
        </w:trPr>
        <w:tc>
          <w:tcPr>
            <w:tcW w:w="1934" w:type="dxa"/>
            <w:tcBorders>
              <w:top w:val="nil"/>
              <w:left w:val="nil"/>
              <w:bottom w:val="nil"/>
              <w:right w:val="nil"/>
            </w:tcBorders>
          </w:tcPr>
          <w:p w14:paraId="0E84103C" w14:textId="77777777" w:rsidR="009A3C06" w:rsidRPr="009A3C06" w:rsidRDefault="009A3C06" w:rsidP="009A3C06">
            <w:pPr>
              <w:pStyle w:val="MDPI42tablebody"/>
              <w:jc w:val="left"/>
              <w:rPr>
                <w:b/>
                <w:bCs/>
                <w:lang w:val="en-GB" w:eastAsia="en-US"/>
              </w:rPr>
            </w:pPr>
            <w:r w:rsidRPr="009A3C06">
              <w:rPr>
                <w:b/>
                <w:bCs/>
                <w:lang w:val="en-GB" w:eastAsia="en-US"/>
              </w:rPr>
              <w:t>Cell wall-bound</w:t>
            </w:r>
          </w:p>
        </w:tc>
        <w:tc>
          <w:tcPr>
            <w:tcW w:w="1323" w:type="dxa"/>
            <w:tcBorders>
              <w:top w:val="nil"/>
              <w:left w:val="nil"/>
              <w:bottom w:val="nil"/>
              <w:right w:val="nil"/>
            </w:tcBorders>
          </w:tcPr>
          <w:p w14:paraId="7B6F9726" w14:textId="77777777" w:rsidR="009A3C06" w:rsidRPr="009A3C06" w:rsidRDefault="009A3C06" w:rsidP="009A3C06">
            <w:pPr>
              <w:pStyle w:val="MDPI42tablebody"/>
              <w:jc w:val="left"/>
              <w:rPr>
                <w:lang w:val="en-GB" w:eastAsia="en-US"/>
              </w:rPr>
            </w:pPr>
          </w:p>
        </w:tc>
        <w:tc>
          <w:tcPr>
            <w:tcW w:w="1384" w:type="dxa"/>
            <w:tcBorders>
              <w:top w:val="nil"/>
              <w:left w:val="nil"/>
              <w:bottom w:val="nil"/>
              <w:right w:val="nil"/>
            </w:tcBorders>
          </w:tcPr>
          <w:p w14:paraId="03068658" w14:textId="77777777" w:rsidR="009A3C06" w:rsidRPr="009A3C06" w:rsidRDefault="009A3C06" w:rsidP="009A3C06">
            <w:pPr>
              <w:pStyle w:val="MDPI42tablebody"/>
              <w:jc w:val="left"/>
              <w:rPr>
                <w:lang w:val="en-GB" w:eastAsia="en-US"/>
              </w:rPr>
            </w:pPr>
          </w:p>
        </w:tc>
        <w:tc>
          <w:tcPr>
            <w:tcW w:w="1418" w:type="dxa"/>
            <w:tcBorders>
              <w:top w:val="nil"/>
              <w:left w:val="nil"/>
              <w:bottom w:val="nil"/>
              <w:right w:val="nil"/>
            </w:tcBorders>
          </w:tcPr>
          <w:p w14:paraId="2C5C830F" w14:textId="77777777" w:rsidR="009A3C06" w:rsidRPr="009A3C06" w:rsidRDefault="009A3C06" w:rsidP="009A3C06">
            <w:pPr>
              <w:pStyle w:val="MDPI42tablebody"/>
              <w:jc w:val="left"/>
              <w:rPr>
                <w:lang w:val="en-GB" w:eastAsia="en-US"/>
              </w:rPr>
            </w:pPr>
          </w:p>
        </w:tc>
        <w:tc>
          <w:tcPr>
            <w:tcW w:w="1417" w:type="dxa"/>
            <w:tcBorders>
              <w:top w:val="nil"/>
              <w:left w:val="nil"/>
              <w:bottom w:val="nil"/>
              <w:right w:val="nil"/>
            </w:tcBorders>
          </w:tcPr>
          <w:p w14:paraId="741CACEA" w14:textId="77777777" w:rsidR="009A3C06" w:rsidRPr="009A3C06" w:rsidRDefault="009A3C06" w:rsidP="009A3C06">
            <w:pPr>
              <w:pStyle w:val="MDPI42tablebody"/>
              <w:jc w:val="left"/>
              <w:rPr>
                <w:lang w:val="en-GB" w:eastAsia="en-US"/>
              </w:rPr>
            </w:pPr>
          </w:p>
        </w:tc>
      </w:tr>
      <w:tr w:rsidR="009A3C06" w:rsidRPr="009A3C06" w14:paraId="1018ED40" w14:textId="77777777" w:rsidTr="009A3C06">
        <w:trPr>
          <w:trHeight w:val="290"/>
        </w:trPr>
        <w:tc>
          <w:tcPr>
            <w:tcW w:w="1934" w:type="dxa"/>
            <w:tcBorders>
              <w:top w:val="nil"/>
              <w:left w:val="nil"/>
              <w:right w:val="nil"/>
            </w:tcBorders>
          </w:tcPr>
          <w:p w14:paraId="48C97431" w14:textId="77777777" w:rsidR="009A3C06" w:rsidRPr="009A3C06" w:rsidRDefault="009A3C06" w:rsidP="009A3C06">
            <w:pPr>
              <w:pStyle w:val="MDPI42tablebody"/>
              <w:jc w:val="left"/>
              <w:rPr>
                <w:i/>
                <w:lang w:val="en-GB" w:eastAsia="en-US"/>
              </w:rPr>
            </w:pPr>
            <w:r w:rsidRPr="009A3C06">
              <w:rPr>
                <w:i/>
                <w:lang w:val="en-GB" w:eastAsia="en-US"/>
              </w:rPr>
              <w:t>F. serratus</w:t>
            </w:r>
          </w:p>
        </w:tc>
        <w:tc>
          <w:tcPr>
            <w:tcW w:w="1323" w:type="dxa"/>
            <w:tcBorders>
              <w:top w:val="nil"/>
              <w:left w:val="nil"/>
              <w:right w:val="nil"/>
            </w:tcBorders>
          </w:tcPr>
          <w:p w14:paraId="737B605A" w14:textId="77777777" w:rsidR="009A3C06" w:rsidRPr="009A3C06" w:rsidRDefault="009A3C06" w:rsidP="009A3C06">
            <w:pPr>
              <w:pStyle w:val="MDPI42tablebody"/>
              <w:jc w:val="left"/>
              <w:rPr>
                <w:lang w:val="en-GB" w:eastAsia="en-US"/>
              </w:rPr>
            </w:pPr>
            <w:r w:rsidRPr="009A3C06">
              <w:rPr>
                <w:lang w:val="en-GB" w:eastAsia="en-US"/>
              </w:rPr>
              <w:t>10</w:t>
            </w:r>
          </w:p>
        </w:tc>
        <w:tc>
          <w:tcPr>
            <w:tcW w:w="1384" w:type="dxa"/>
            <w:tcBorders>
              <w:top w:val="nil"/>
              <w:left w:val="nil"/>
              <w:right w:val="nil"/>
            </w:tcBorders>
          </w:tcPr>
          <w:p w14:paraId="5F2C53C1" w14:textId="77777777" w:rsidR="009A3C06" w:rsidRPr="009A3C06" w:rsidRDefault="009A3C06" w:rsidP="009A3C06">
            <w:pPr>
              <w:pStyle w:val="MDPI42tablebody"/>
              <w:jc w:val="left"/>
              <w:rPr>
                <w:lang w:val="en-GB" w:eastAsia="en-US"/>
              </w:rPr>
            </w:pPr>
            <w:r w:rsidRPr="009A3C06">
              <w:rPr>
                <w:lang w:val="en-GB" w:eastAsia="en-US"/>
              </w:rPr>
              <w:t>10</w:t>
            </w:r>
          </w:p>
        </w:tc>
        <w:tc>
          <w:tcPr>
            <w:tcW w:w="1418" w:type="dxa"/>
            <w:tcBorders>
              <w:top w:val="nil"/>
              <w:left w:val="nil"/>
              <w:right w:val="nil"/>
            </w:tcBorders>
          </w:tcPr>
          <w:p w14:paraId="42960514" w14:textId="77777777" w:rsidR="009A3C06" w:rsidRPr="009A3C06" w:rsidRDefault="009A3C06" w:rsidP="009A3C06">
            <w:pPr>
              <w:pStyle w:val="MDPI42tablebody"/>
              <w:jc w:val="left"/>
              <w:rPr>
                <w:lang w:val="en-GB" w:eastAsia="en-US"/>
              </w:rPr>
            </w:pPr>
            <w:r w:rsidRPr="009A3C06">
              <w:rPr>
                <w:lang w:val="en-GB" w:eastAsia="en-US"/>
              </w:rPr>
              <w:t>11</w:t>
            </w:r>
          </w:p>
        </w:tc>
        <w:tc>
          <w:tcPr>
            <w:tcW w:w="1417" w:type="dxa"/>
            <w:tcBorders>
              <w:top w:val="nil"/>
              <w:left w:val="nil"/>
              <w:right w:val="nil"/>
            </w:tcBorders>
          </w:tcPr>
          <w:p w14:paraId="104DB4AC" w14:textId="77777777" w:rsidR="009A3C06" w:rsidRPr="009A3C06" w:rsidRDefault="009A3C06" w:rsidP="009A3C06">
            <w:pPr>
              <w:pStyle w:val="MDPI42tablebody"/>
              <w:jc w:val="left"/>
              <w:rPr>
                <w:lang w:val="en-GB" w:eastAsia="en-US"/>
              </w:rPr>
            </w:pPr>
            <w:r w:rsidRPr="009A3C06">
              <w:rPr>
                <w:lang w:val="en-GB" w:eastAsia="en-US"/>
              </w:rPr>
              <w:t>10</w:t>
            </w:r>
          </w:p>
        </w:tc>
      </w:tr>
      <w:tr w:rsidR="009A3C06" w:rsidRPr="009A3C06" w14:paraId="5FEFB4C7" w14:textId="77777777" w:rsidTr="009A3C06">
        <w:trPr>
          <w:trHeight w:val="290"/>
        </w:trPr>
        <w:tc>
          <w:tcPr>
            <w:tcW w:w="1934" w:type="dxa"/>
            <w:tcBorders>
              <w:top w:val="nil"/>
              <w:left w:val="nil"/>
              <w:bottom w:val="nil"/>
              <w:right w:val="nil"/>
            </w:tcBorders>
          </w:tcPr>
          <w:p w14:paraId="27525DA9" w14:textId="77777777" w:rsidR="009A3C06" w:rsidRPr="009A3C06" w:rsidRDefault="009A3C06" w:rsidP="009A3C06">
            <w:pPr>
              <w:pStyle w:val="MDPI42tablebody"/>
              <w:jc w:val="left"/>
              <w:rPr>
                <w:i/>
                <w:lang w:val="en-GB" w:eastAsia="en-US"/>
              </w:rPr>
            </w:pPr>
            <w:r w:rsidRPr="009A3C06">
              <w:rPr>
                <w:i/>
                <w:lang w:val="en-GB" w:eastAsia="en-US"/>
              </w:rPr>
              <w:t xml:space="preserve">F. </w:t>
            </w:r>
            <w:proofErr w:type="spellStart"/>
            <w:r w:rsidRPr="009A3C06">
              <w:rPr>
                <w:i/>
                <w:lang w:val="en-GB" w:eastAsia="en-US"/>
              </w:rPr>
              <w:t>vesiculosus</w:t>
            </w:r>
            <w:proofErr w:type="spellEnd"/>
          </w:p>
        </w:tc>
        <w:tc>
          <w:tcPr>
            <w:tcW w:w="1323" w:type="dxa"/>
            <w:tcBorders>
              <w:top w:val="nil"/>
              <w:left w:val="nil"/>
              <w:bottom w:val="nil"/>
              <w:right w:val="nil"/>
            </w:tcBorders>
          </w:tcPr>
          <w:p w14:paraId="1DDFD2B8" w14:textId="77777777" w:rsidR="009A3C06" w:rsidRPr="009A3C06" w:rsidRDefault="009A3C06" w:rsidP="009A3C06">
            <w:pPr>
              <w:pStyle w:val="MDPI42tablebody"/>
              <w:jc w:val="left"/>
              <w:rPr>
                <w:lang w:val="en-GB" w:eastAsia="en-US"/>
              </w:rPr>
            </w:pPr>
            <w:r w:rsidRPr="009A3C06">
              <w:rPr>
                <w:lang w:val="en-GB" w:eastAsia="en-US"/>
              </w:rPr>
              <w:t>10</w:t>
            </w:r>
          </w:p>
        </w:tc>
        <w:tc>
          <w:tcPr>
            <w:tcW w:w="1384" w:type="dxa"/>
            <w:tcBorders>
              <w:top w:val="nil"/>
              <w:left w:val="nil"/>
              <w:bottom w:val="nil"/>
              <w:right w:val="nil"/>
            </w:tcBorders>
          </w:tcPr>
          <w:p w14:paraId="2EA3AAC5" w14:textId="77777777" w:rsidR="009A3C06" w:rsidRPr="009A3C06" w:rsidRDefault="009A3C06" w:rsidP="009A3C06">
            <w:pPr>
              <w:pStyle w:val="MDPI42tablebody"/>
              <w:jc w:val="left"/>
              <w:rPr>
                <w:lang w:val="en-GB" w:eastAsia="en-US"/>
              </w:rPr>
            </w:pPr>
            <w:r w:rsidRPr="009A3C06">
              <w:rPr>
                <w:lang w:val="en-GB" w:eastAsia="en-US"/>
              </w:rPr>
              <w:t>12</w:t>
            </w:r>
          </w:p>
        </w:tc>
        <w:tc>
          <w:tcPr>
            <w:tcW w:w="1418" w:type="dxa"/>
            <w:tcBorders>
              <w:top w:val="nil"/>
              <w:left w:val="nil"/>
              <w:bottom w:val="nil"/>
              <w:right w:val="nil"/>
            </w:tcBorders>
          </w:tcPr>
          <w:p w14:paraId="57DB1DCF" w14:textId="77777777" w:rsidR="009A3C06" w:rsidRPr="009A3C06" w:rsidRDefault="009A3C06" w:rsidP="009A3C06">
            <w:pPr>
              <w:pStyle w:val="MDPI42tablebody"/>
              <w:jc w:val="left"/>
              <w:rPr>
                <w:lang w:val="en-GB" w:eastAsia="en-US"/>
              </w:rPr>
            </w:pPr>
            <w:r w:rsidRPr="009A3C06">
              <w:rPr>
                <w:lang w:val="en-GB" w:eastAsia="en-US"/>
              </w:rPr>
              <w:t>10</w:t>
            </w:r>
          </w:p>
        </w:tc>
        <w:tc>
          <w:tcPr>
            <w:tcW w:w="1417" w:type="dxa"/>
            <w:tcBorders>
              <w:top w:val="nil"/>
              <w:left w:val="nil"/>
              <w:bottom w:val="nil"/>
              <w:right w:val="nil"/>
            </w:tcBorders>
          </w:tcPr>
          <w:p w14:paraId="0C136AAA" w14:textId="77777777" w:rsidR="009A3C06" w:rsidRPr="009A3C06" w:rsidRDefault="009A3C06" w:rsidP="009A3C06">
            <w:pPr>
              <w:pStyle w:val="MDPI42tablebody"/>
              <w:jc w:val="left"/>
              <w:rPr>
                <w:lang w:val="en-GB" w:eastAsia="en-US"/>
              </w:rPr>
            </w:pPr>
            <w:r w:rsidRPr="009A3C06">
              <w:rPr>
                <w:lang w:val="en-GB" w:eastAsia="en-US"/>
              </w:rPr>
              <w:t>11</w:t>
            </w:r>
          </w:p>
        </w:tc>
      </w:tr>
      <w:tr w:rsidR="009A3C06" w:rsidRPr="009A3C06" w14:paraId="36C77089" w14:textId="77777777" w:rsidTr="009A3C06">
        <w:trPr>
          <w:trHeight w:val="290"/>
        </w:trPr>
        <w:tc>
          <w:tcPr>
            <w:tcW w:w="1934" w:type="dxa"/>
            <w:tcBorders>
              <w:top w:val="nil"/>
              <w:left w:val="nil"/>
              <w:bottom w:val="nil"/>
              <w:right w:val="nil"/>
            </w:tcBorders>
          </w:tcPr>
          <w:p w14:paraId="09F718E7" w14:textId="77777777" w:rsidR="009A3C06" w:rsidRPr="009A3C06" w:rsidRDefault="009A3C06" w:rsidP="009A3C06">
            <w:pPr>
              <w:pStyle w:val="MDPI42tablebody"/>
              <w:jc w:val="left"/>
              <w:rPr>
                <w:i/>
                <w:lang w:val="en-GB" w:eastAsia="en-US"/>
              </w:rPr>
            </w:pPr>
            <w:r w:rsidRPr="009A3C06">
              <w:rPr>
                <w:i/>
                <w:lang w:val="en-GB" w:eastAsia="en-US"/>
              </w:rPr>
              <w:t xml:space="preserve">P. </w:t>
            </w:r>
            <w:proofErr w:type="spellStart"/>
            <w:r w:rsidRPr="009A3C06">
              <w:rPr>
                <w:i/>
                <w:lang w:val="en-GB" w:eastAsia="en-US"/>
              </w:rPr>
              <w:t>canaliculata</w:t>
            </w:r>
            <w:proofErr w:type="spellEnd"/>
          </w:p>
        </w:tc>
        <w:tc>
          <w:tcPr>
            <w:tcW w:w="1323" w:type="dxa"/>
            <w:tcBorders>
              <w:top w:val="nil"/>
              <w:left w:val="nil"/>
              <w:bottom w:val="nil"/>
              <w:right w:val="nil"/>
            </w:tcBorders>
          </w:tcPr>
          <w:p w14:paraId="67830AE4" w14:textId="77777777" w:rsidR="009A3C06" w:rsidRPr="009A3C06" w:rsidRDefault="009A3C06" w:rsidP="009A3C06">
            <w:pPr>
              <w:pStyle w:val="MDPI42tablebody"/>
              <w:jc w:val="left"/>
              <w:rPr>
                <w:lang w:val="en-GB" w:eastAsia="en-US"/>
              </w:rPr>
            </w:pPr>
            <w:r w:rsidRPr="009A3C06">
              <w:rPr>
                <w:lang w:val="en-GB" w:eastAsia="en-US"/>
              </w:rPr>
              <w:t>11</w:t>
            </w:r>
          </w:p>
        </w:tc>
        <w:tc>
          <w:tcPr>
            <w:tcW w:w="1384" w:type="dxa"/>
            <w:tcBorders>
              <w:top w:val="nil"/>
              <w:left w:val="nil"/>
              <w:bottom w:val="nil"/>
              <w:right w:val="nil"/>
            </w:tcBorders>
          </w:tcPr>
          <w:p w14:paraId="2945B6C7" w14:textId="77777777" w:rsidR="009A3C06" w:rsidRPr="009A3C06" w:rsidRDefault="009A3C06" w:rsidP="009A3C06">
            <w:pPr>
              <w:pStyle w:val="MDPI42tablebody"/>
              <w:jc w:val="left"/>
              <w:rPr>
                <w:lang w:val="en-GB" w:eastAsia="en-US"/>
              </w:rPr>
            </w:pPr>
            <w:r w:rsidRPr="009A3C06">
              <w:rPr>
                <w:lang w:val="en-GB" w:eastAsia="en-US"/>
              </w:rPr>
              <w:t>12</w:t>
            </w:r>
          </w:p>
        </w:tc>
        <w:tc>
          <w:tcPr>
            <w:tcW w:w="1418" w:type="dxa"/>
            <w:tcBorders>
              <w:top w:val="nil"/>
              <w:left w:val="nil"/>
              <w:bottom w:val="nil"/>
              <w:right w:val="nil"/>
            </w:tcBorders>
          </w:tcPr>
          <w:p w14:paraId="7281C3FC" w14:textId="77777777" w:rsidR="009A3C06" w:rsidRPr="009A3C06" w:rsidRDefault="009A3C06" w:rsidP="009A3C06">
            <w:pPr>
              <w:pStyle w:val="MDPI42tablebody"/>
              <w:jc w:val="left"/>
              <w:rPr>
                <w:lang w:val="en-GB" w:eastAsia="en-US"/>
              </w:rPr>
            </w:pPr>
            <w:r w:rsidRPr="009A3C06">
              <w:rPr>
                <w:lang w:val="en-GB" w:eastAsia="en-US"/>
              </w:rPr>
              <w:t>10</w:t>
            </w:r>
          </w:p>
        </w:tc>
        <w:tc>
          <w:tcPr>
            <w:tcW w:w="1417" w:type="dxa"/>
            <w:tcBorders>
              <w:top w:val="nil"/>
              <w:left w:val="nil"/>
              <w:bottom w:val="nil"/>
              <w:right w:val="nil"/>
            </w:tcBorders>
          </w:tcPr>
          <w:p w14:paraId="774896A0" w14:textId="77777777" w:rsidR="009A3C06" w:rsidRPr="009A3C06" w:rsidRDefault="009A3C06" w:rsidP="009A3C06">
            <w:pPr>
              <w:pStyle w:val="MDPI42tablebody"/>
              <w:jc w:val="left"/>
              <w:rPr>
                <w:lang w:val="en-GB" w:eastAsia="en-US"/>
              </w:rPr>
            </w:pPr>
            <w:r w:rsidRPr="009A3C06">
              <w:rPr>
                <w:lang w:val="en-GB" w:eastAsia="en-US"/>
              </w:rPr>
              <w:t>10</w:t>
            </w:r>
          </w:p>
        </w:tc>
      </w:tr>
      <w:tr w:rsidR="009A3C06" w:rsidRPr="009A3C06" w14:paraId="52AE3B4B" w14:textId="77777777" w:rsidTr="009A3C06">
        <w:trPr>
          <w:trHeight w:val="290"/>
        </w:trPr>
        <w:tc>
          <w:tcPr>
            <w:tcW w:w="1934" w:type="dxa"/>
            <w:tcBorders>
              <w:top w:val="nil"/>
              <w:left w:val="nil"/>
              <w:bottom w:val="single" w:sz="12" w:space="0" w:color="auto"/>
              <w:right w:val="nil"/>
            </w:tcBorders>
          </w:tcPr>
          <w:p w14:paraId="1C350DB7" w14:textId="77777777" w:rsidR="009A3C06" w:rsidRPr="009A3C06" w:rsidRDefault="009A3C06" w:rsidP="009A3C06">
            <w:pPr>
              <w:pStyle w:val="MDPI42tablebody"/>
              <w:rPr>
                <w:lang w:val="en-GB" w:eastAsia="en-US"/>
              </w:rPr>
            </w:pPr>
          </w:p>
        </w:tc>
        <w:tc>
          <w:tcPr>
            <w:tcW w:w="1323" w:type="dxa"/>
            <w:tcBorders>
              <w:top w:val="nil"/>
              <w:left w:val="nil"/>
              <w:bottom w:val="single" w:sz="12" w:space="0" w:color="auto"/>
              <w:right w:val="nil"/>
            </w:tcBorders>
          </w:tcPr>
          <w:p w14:paraId="3A5BE612" w14:textId="77777777" w:rsidR="009A3C06" w:rsidRPr="009A3C06" w:rsidRDefault="009A3C06" w:rsidP="009A3C06">
            <w:pPr>
              <w:pStyle w:val="MDPI42tablebody"/>
              <w:rPr>
                <w:lang w:val="en-GB" w:eastAsia="en-US"/>
              </w:rPr>
            </w:pPr>
          </w:p>
        </w:tc>
        <w:tc>
          <w:tcPr>
            <w:tcW w:w="1384" w:type="dxa"/>
            <w:tcBorders>
              <w:top w:val="nil"/>
              <w:left w:val="nil"/>
              <w:bottom w:val="single" w:sz="12" w:space="0" w:color="auto"/>
              <w:right w:val="nil"/>
            </w:tcBorders>
          </w:tcPr>
          <w:p w14:paraId="72960A0A" w14:textId="77777777" w:rsidR="009A3C06" w:rsidRPr="009A3C06" w:rsidRDefault="009A3C06" w:rsidP="009A3C06">
            <w:pPr>
              <w:pStyle w:val="MDPI42tablebody"/>
              <w:rPr>
                <w:lang w:val="en-GB" w:eastAsia="en-US"/>
              </w:rPr>
            </w:pPr>
          </w:p>
        </w:tc>
        <w:tc>
          <w:tcPr>
            <w:tcW w:w="1418" w:type="dxa"/>
            <w:tcBorders>
              <w:top w:val="nil"/>
              <w:left w:val="nil"/>
              <w:bottom w:val="single" w:sz="12" w:space="0" w:color="auto"/>
              <w:right w:val="nil"/>
            </w:tcBorders>
          </w:tcPr>
          <w:p w14:paraId="010C291B" w14:textId="77777777" w:rsidR="009A3C06" w:rsidRPr="009A3C06" w:rsidRDefault="009A3C06" w:rsidP="009A3C06">
            <w:pPr>
              <w:pStyle w:val="MDPI42tablebody"/>
              <w:rPr>
                <w:lang w:val="en-GB" w:eastAsia="en-US"/>
              </w:rPr>
            </w:pPr>
          </w:p>
        </w:tc>
        <w:tc>
          <w:tcPr>
            <w:tcW w:w="1417" w:type="dxa"/>
            <w:tcBorders>
              <w:top w:val="nil"/>
              <w:left w:val="nil"/>
              <w:bottom w:val="single" w:sz="12" w:space="0" w:color="auto"/>
              <w:right w:val="nil"/>
            </w:tcBorders>
          </w:tcPr>
          <w:p w14:paraId="4A91B3DE" w14:textId="77777777" w:rsidR="009A3C06" w:rsidRPr="009A3C06" w:rsidRDefault="009A3C06" w:rsidP="009A3C06">
            <w:pPr>
              <w:pStyle w:val="MDPI42tablebody"/>
              <w:rPr>
                <w:lang w:val="en-GB" w:eastAsia="en-US"/>
              </w:rPr>
            </w:pPr>
          </w:p>
        </w:tc>
      </w:tr>
      <w:tr w:rsidR="009A3C06" w:rsidRPr="009A3C06" w14:paraId="2029993D" w14:textId="77777777" w:rsidTr="009A3C06">
        <w:trPr>
          <w:trHeight w:hRule="exact" w:val="57"/>
        </w:trPr>
        <w:tc>
          <w:tcPr>
            <w:tcW w:w="1934" w:type="dxa"/>
            <w:tcBorders>
              <w:top w:val="single" w:sz="12" w:space="0" w:color="auto"/>
              <w:left w:val="nil"/>
              <w:bottom w:val="nil"/>
              <w:right w:val="nil"/>
            </w:tcBorders>
          </w:tcPr>
          <w:p w14:paraId="012583EB" w14:textId="77777777" w:rsidR="009A3C06" w:rsidRPr="009A3C06" w:rsidRDefault="009A3C06" w:rsidP="009A3C06">
            <w:pPr>
              <w:pStyle w:val="MDPI42tablebody"/>
              <w:rPr>
                <w:lang w:val="en-GB" w:eastAsia="en-US"/>
              </w:rPr>
            </w:pPr>
          </w:p>
        </w:tc>
        <w:tc>
          <w:tcPr>
            <w:tcW w:w="1323" w:type="dxa"/>
            <w:tcBorders>
              <w:top w:val="single" w:sz="12" w:space="0" w:color="auto"/>
              <w:left w:val="nil"/>
              <w:bottom w:val="nil"/>
              <w:right w:val="nil"/>
            </w:tcBorders>
          </w:tcPr>
          <w:p w14:paraId="17426F6B" w14:textId="77777777" w:rsidR="009A3C06" w:rsidRPr="009A3C06" w:rsidRDefault="009A3C06" w:rsidP="009A3C06">
            <w:pPr>
              <w:pStyle w:val="MDPI42tablebody"/>
              <w:rPr>
                <w:lang w:val="en-GB" w:eastAsia="en-US"/>
              </w:rPr>
            </w:pPr>
          </w:p>
        </w:tc>
        <w:tc>
          <w:tcPr>
            <w:tcW w:w="1384" w:type="dxa"/>
            <w:tcBorders>
              <w:top w:val="single" w:sz="12" w:space="0" w:color="auto"/>
              <w:left w:val="nil"/>
              <w:bottom w:val="nil"/>
              <w:right w:val="nil"/>
            </w:tcBorders>
          </w:tcPr>
          <w:p w14:paraId="6AB91351" w14:textId="77777777" w:rsidR="009A3C06" w:rsidRPr="009A3C06" w:rsidRDefault="009A3C06" w:rsidP="009A3C06">
            <w:pPr>
              <w:pStyle w:val="MDPI42tablebody"/>
              <w:rPr>
                <w:lang w:val="en-GB" w:eastAsia="en-US"/>
              </w:rPr>
            </w:pPr>
          </w:p>
        </w:tc>
        <w:tc>
          <w:tcPr>
            <w:tcW w:w="1418" w:type="dxa"/>
            <w:tcBorders>
              <w:top w:val="single" w:sz="12" w:space="0" w:color="auto"/>
              <w:left w:val="nil"/>
              <w:bottom w:val="nil"/>
              <w:right w:val="nil"/>
            </w:tcBorders>
          </w:tcPr>
          <w:p w14:paraId="5926FFA6" w14:textId="77777777" w:rsidR="009A3C06" w:rsidRPr="009A3C06" w:rsidRDefault="009A3C06" w:rsidP="009A3C06">
            <w:pPr>
              <w:pStyle w:val="MDPI42tablebody"/>
              <w:rPr>
                <w:lang w:val="en-GB" w:eastAsia="en-US"/>
              </w:rPr>
            </w:pPr>
          </w:p>
        </w:tc>
        <w:tc>
          <w:tcPr>
            <w:tcW w:w="1417" w:type="dxa"/>
            <w:tcBorders>
              <w:top w:val="single" w:sz="12" w:space="0" w:color="auto"/>
              <w:left w:val="nil"/>
              <w:bottom w:val="nil"/>
              <w:right w:val="nil"/>
            </w:tcBorders>
          </w:tcPr>
          <w:p w14:paraId="482A7725" w14:textId="77777777" w:rsidR="009A3C06" w:rsidRPr="009A3C06" w:rsidRDefault="009A3C06" w:rsidP="009A3C06">
            <w:pPr>
              <w:pStyle w:val="MDPI42tablebody"/>
              <w:rPr>
                <w:lang w:val="en-GB" w:eastAsia="en-US"/>
              </w:rPr>
            </w:pPr>
          </w:p>
        </w:tc>
      </w:tr>
      <w:tr w:rsidR="009A3C06" w:rsidRPr="009A3C06" w14:paraId="51B5ABAF" w14:textId="77777777" w:rsidTr="009A3C06">
        <w:trPr>
          <w:trHeight w:val="290"/>
        </w:trPr>
        <w:tc>
          <w:tcPr>
            <w:tcW w:w="7476" w:type="dxa"/>
            <w:gridSpan w:val="5"/>
            <w:tcBorders>
              <w:top w:val="nil"/>
              <w:left w:val="nil"/>
              <w:bottom w:val="nil"/>
              <w:right w:val="nil"/>
            </w:tcBorders>
          </w:tcPr>
          <w:p w14:paraId="76E887FB" w14:textId="77777777" w:rsidR="009A3C06" w:rsidRPr="009A3C06" w:rsidRDefault="009A3C06" w:rsidP="009A3C06">
            <w:pPr>
              <w:pStyle w:val="MDPI42tablebody"/>
              <w:rPr>
                <w:lang w:val="en-GB" w:eastAsia="en-US"/>
              </w:rPr>
            </w:pPr>
            <w:r w:rsidRPr="009A3C06">
              <w:rPr>
                <w:lang w:val="en-GB" w:eastAsia="en-US"/>
              </w:rPr>
              <w:t>Legend: singly, (doubly), [triply] charged.</w:t>
            </w:r>
          </w:p>
        </w:tc>
      </w:tr>
    </w:tbl>
    <w:p w14:paraId="66F1FD76" w14:textId="77777777" w:rsidR="009A3C06" w:rsidRPr="00C207B2" w:rsidRDefault="009A3C06" w:rsidP="009A3C06">
      <w:pPr>
        <w:pStyle w:val="MDPI41tablecaption"/>
        <w:jc w:val="center"/>
      </w:pPr>
      <w:r w:rsidRPr="00C207B2">
        <w:rPr>
          <w:b/>
        </w:rPr>
        <w:t xml:space="preserve">Table </w:t>
      </w:r>
      <w:r>
        <w:rPr>
          <w:b/>
        </w:rPr>
        <w:t>S</w:t>
      </w:r>
      <w:r w:rsidRPr="00C207B2">
        <w:rPr>
          <w:b/>
        </w:rPr>
        <w:t>1.</w:t>
      </w:r>
      <w:r w:rsidRPr="00C207B2">
        <w:t xml:space="preserve"> </w:t>
      </w:r>
      <w:r w:rsidRPr="009A3C06">
        <w:t xml:space="preserve">Maximal degree of polymerization (DP) detected for the most abundant phlorotannin series, the </w:t>
      </w:r>
      <w:proofErr w:type="spellStart"/>
      <w:r w:rsidRPr="009A3C06">
        <w:t>fucol</w:t>
      </w:r>
      <w:proofErr w:type="spellEnd"/>
      <w:r w:rsidRPr="009A3C06">
        <w:t>/</w:t>
      </w:r>
      <w:proofErr w:type="spellStart"/>
      <w:r w:rsidRPr="009A3C06">
        <w:t>phlorethols</w:t>
      </w:r>
      <w:proofErr w:type="spellEnd"/>
      <w:r w:rsidRPr="009A3C06">
        <w:t>, in all species, zones and fractions. The maximal DP (38) is labeled in bold. Brackets indicate the charge state of the highest m/z observed as outlined in the table footnote.</w:t>
      </w:r>
    </w:p>
    <w:p w14:paraId="14785A0D" w14:textId="77777777" w:rsidR="009A3C06" w:rsidRDefault="009A3C06" w:rsidP="009A3C06">
      <w:pPr>
        <w:pStyle w:val="MDPI41tablecaption"/>
        <w:jc w:val="center"/>
        <w:rPr>
          <w:b/>
        </w:rPr>
      </w:pPr>
    </w:p>
    <w:p w14:paraId="019E7ED3" w14:textId="77777777" w:rsidR="009A3C06" w:rsidRDefault="009A3C06" w:rsidP="009A3C06">
      <w:pPr>
        <w:pStyle w:val="MDPI41tablecaption"/>
        <w:jc w:val="center"/>
        <w:rPr>
          <w:b/>
        </w:rPr>
      </w:pPr>
    </w:p>
    <w:p w14:paraId="142A75D4" w14:textId="77777777" w:rsidR="009A3C06" w:rsidRDefault="009A3C06" w:rsidP="009A3C06">
      <w:pPr>
        <w:pStyle w:val="MDPI41tablecaption"/>
        <w:jc w:val="center"/>
        <w:rPr>
          <w:b/>
        </w:rPr>
      </w:pPr>
    </w:p>
    <w:p w14:paraId="74A3C58F" w14:textId="77777777" w:rsidR="009A3C06" w:rsidRPr="009A3C06" w:rsidRDefault="009A3C06" w:rsidP="009A3C06">
      <w:pPr>
        <w:pStyle w:val="MDPI31text"/>
        <w:rPr>
          <w:lang w:val="en-CA" w:eastAsia="zh-CN"/>
        </w:rPr>
      </w:pPr>
    </w:p>
    <w:p w14:paraId="09C0C93B" w14:textId="77777777" w:rsidR="009A3C06" w:rsidRDefault="009A3C06" w:rsidP="009A3C06">
      <w:pPr>
        <w:pStyle w:val="MDPI31text"/>
        <w:rPr>
          <w:lang w:eastAsia="zh-CN"/>
        </w:rPr>
      </w:pPr>
    </w:p>
    <w:p w14:paraId="7E2224F1" w14:textId="77777777" w:rsidR="009A3C06" w:rsidRDefault="009A3C06" w:rsidP="009A3C06">
      <w:pPr>
        <w:pStyle w:val="MDPI31text"/>
        <w:rPr>
          <w:lang w:val="en-CA" w:eastAsia="zh-CN"/>
        </w:rPr>
      </w:pPr>
    </w:p>
    <w:p w14:paraId="4E9C5E5F" w14:textId="1BFC4E02" w:rsidR="00830C50" w:rsidRDefault="009A3C06" w:rsidP="009A3C06">
      <w:pPr>
        <w:pStyle w:val="MDPI31text"/>
        <w:rPr>
          <w:lang w:eastAsia="zh-CN"/>
        </w:rPr>
      </w:pPr>
      <w:r w:rsidRPr="009A3C06">
        <w:rPr>
          <w:lang w:val="en-CA" w:eastAsia="zh-CN"/>
        </w:rPr>
        <w:t xml:space="preserve">Additional series were identified by targeted search according to a literature survey on phloroglucinol and derivatives in algae and higher plants as potential building blocks for phlorotannins in the investigated </w:t>
      </w:r>
      <w:proofErr w:type="spellStart"/>
      <w:r w:rsidRPr="009A3C06">
        <w:rPr>
          <w:lang w:val="en-CA" w:eastAsia="zh-CN"/>
        </w:rPr>
        <w:t>fucoids</w:t>
      </w:r>
      <w:proofErr w:type="spellEnd"/>
      <w:r w:rsidRPr="009A3C06">
        <w:rPr>
          <w:lang w:val="en-CA" w:eastAsia="zh-CN"/>
        </w:rPr>
        <w:t xml:space="preserve"> (e.g. </w:t>
      </w:r>
      <w:proofErr w:type="spellStart"/>
      <w:r w:rsidRPr="00C77F4F">
        <w:rPr>
          <w:lang w:val="en-CA" w:eastAsia="zh-CN"/>
        </w:rPr>
        <w:t>phlorethin</w:t>
      </w:r>
      <w:proofErr w:type="spellEnd"/>
      <w:r w:rsidR="00C77F4F">
        <w:rPr>
          <w:lang w:val="en-CA" w:eastAsia="zh-CN"/>
        </w:rPr>
        <w:t xml:space="preserve"> </w:t>
      </w:r>
      <w:r w:rsidRPr="00C77F4F">
        <w:rPr>
          <w:lang w:val="en-CA" w:eastAsia="zh-CN"/>
        </w:rPr>
        <w:t>[</w:t>
      </w:r>
      <w:r w:rsidR="00C77F4F">
        <w:rPr>
          <w:lang w:val="en-CA" w:eastAsia="zh-CN"/>
        </w:rPr>
        <w:t>68</w:t>
      </w:r>
      <w:r w:rsidRPr="00C77F4F">
        <w:rPr>
          <w:lang w:val="en-CA" w:eastAsia="zh-CN"/>
        </w:rPr>
        <w:t>], p</w:t>
      </w:r>
      <w:proofErr w:type="spellStart"/>
      <w:r w:rsidRPr="00C77F4F">
        <w:rPr>
          <w:lang w:val="en-CA" w:eastAsia="zh-CN"/>
        </w:rPr>
        <w:t>hlorin</w:t>
      </w:r>
      <w:proofErr w:type="spellEnd"/>
      <w:r w:rsidR="00C77F4F">
        <w:rPr>
          <w:lang w:val="en-CA" w:eastAsia="zh-CN"/>
        </w:rPr>
        <w:t xml:space="preserve"> </w:t>
      </w:r>
      <w:r w:rsidRPr="00C77F4F">
        <w:rPr>
          <w:lang w:val="en-CA" w:eastAsia="zh-CN"/>
        </w:rPr>
        <w:t>[</w:t>
      </w:r>
      <w:r w:rsidR="00C77F4F">
        <w:rPr>
          <w:lang w:val="en-CA" w:eastAsia="zh-CN"/>
        </w:rPr>
        <w:t>69</w:t>
      </w:r>
      <w:r w:rsidRPr="00C77F4F">
        <w:rPr>
          <w:lang w:val="en-CA" w:eastAsia="zh-CN"/>
        </w:rPr>
        <w:t>], f</w:t>
      </w:r>
      <w:proofErr w:type="spellStart"/>
      <w:r w:rsidRPr="00C77F4F">
        <w:rPr>
          <w:lang w:val="en-CA" w:eastAsia="zh-CN"/>
        </w:rPr>
        <w:t>uryl</w:t>
      </w:r>
      <w:proofErr w:type="spellEnd"/>
      <w:r w:rsidRPr="00C77F4F">
        <w:rPr>
          <w:lang w:val="en-CA" w:eastAsia="zh-CN"/>
        </w:rPr>
        <w:t xml:space="preserve"> derivatives, </w:t>
      </w:r>
      <w:r w:rsidRPr="00C77F4F">
        <w:rPr>
          <w:lang w:val="en-CA" w:eastAsia="zh-CN"/>
        </w:rPr>
        <w:lastRenderedPageBreak/>
        <w:t>acylphloroglucinols</w:t>
      </w:r>
      <w:r w:rsidR="00C77F4F">
        <w:rPr>
          <w:lang w:val="en-CA" w:eastAsia="zh-CN"/>
        </w:rPr>
        <w:t xml:space="preserve"> </w:t>
      </w:r>
      <w:r w:rsidRPr="00C77F4F">
        <w:rPr>
          <w:lang w:val="en-CA" w:eastAsia="zh-CN"/>
        </w:rPr>
        <w:t>[</w:t>
      </w:r>
      <w:r w:rsidR="00C77F4F">
        <w:rPr>
          <w:lang w:val="en-CA" w:eastAsia="zh-CN"/>
        </w:rPr>
        <w:t>70,71</w:t>
      </w:r>
      <w:r w:rsidRPr="00C77F4F">
        <w:rPr>
          <w:lang w:val="en-CA" w:eastAsia="zh-CN"/>
        </w:rPr>
        <w:t xml:space="preserve">], </w:t>
      </w:r>
      <w:proofErr w:type="spellStart"/>
      <w:r w:rsidRPr="00C77F4F">
        <w:rPr>
          <w:lang w:val="en-CA" w:eastAsia="zh-CN"/>
        </w:rPr>
        <w:t>phloroglucinic</w:t>
      </w:r>
      <w:proofErr w:type="spellEnd"/>
      <w:r w:rsidRPr="00C77F4F">
        <w:rPr>
          <w:lang w:val="en-CA" w:eastAsia="zh-CN"/>
        </w:rPr>
        <w:t xml:space="preserve"> acid</w:t>
      </w:r>
      <w:r w:rsidR="00C77F4F">
        <w:rPr>
          <w:lang w:val="en-CA" w:eastAsia="zh-CN"/>
        </w:rPr>
        <w:t xml:space="preserve"> </w:t>
      </w:r>
      <w:r w:rsidRPr="00C77F4F">
        <w:rPr>
          <w:lang w:val="en-CA" w:eastAsia="zh-CN"/>
        </w:rPr>
        <w:t>[</w:t>
      </w:r>
      <w:r w:rsidR="00C77F4F">
        <w:rPr>
          <w:lang w:val="en-CA" w:eastAsia="zh-CN"/>
        </w:rPr>
        <w:t>28</w:t>
      </w:r>
      <w:r w:rsidRPr="00C77F4F">
        <w:rPr>
          <w:lang w:val="en-CA" w:eastAsia="zh-CN"/>
        </w:rPr>
        <w:t>]). If evidence for the corresponding species was found in our data, these minor series were also filed to support the discussion related to the tentatively identified major series (see above) but not quantified due to the usually low abundance of these series. Exemplary structural proposals</w:t>
      </w:r>
      <w:r w:rsidRPr="00C77F4F" w:rsidDel="007A6C1C">
        <w:rPr>
          <w:lang w:val="en-CA" w:eastAsia="zh-CN"/>
        </w:rPr>
        <w:t xml:space="preserve"> </w:t>
      </w:r>
      <w:r w:rsidRPr="00C77F4F">
        <w:rPr>
          <w:lang w:val="en-CA" w:eastAsia="zh-CN"/>
        </w:rPr>
        <w:t>for the series are presented in Fig</w:t>
      </w:r>
      <w:r w:rsidR="00507EBA" w:rsidRPr="00C77F4F">
        <w:rPr>
          <w:lang w:val="en-CA" w:eastAsia="zh-CN"/>
        </w:rPr>
        <w:t>ure</w:t>
      </w:r>
      <w:r w:rsidRPr="00C77F4F">
        <w:rPr>
          <w:lang w:val="en-CA" w:eastAsia="zh-CN"/>
        </w:rPr>
        <w:t xml:space="preserve"> 4 in the main manuscript. Finally, we assessed all detected peaks between the most abundant DPs 7 and 8 (Figure S1) and assigned most of them based on structural motifs of already identified series filling “the gaps” of postulated reaction schemes, e.g. hydroxylated, acetylated and oxidized</w:t>
      </w:r>
      <w:r w:rsidRPr="009A3C06">
        <w:rPr>
          <w:lang w:val="en-CA" w:eastAsia="zh-CN"/>
        </w:rPr>
        <w:t xml:space="preserve"> forms of already identified basic structures. This way, only </w:t>
      </w:r>
      <w:r w:rsidRPr="009A3C06">
        <w:rPr>
          <w:i/>
          <w:lang w:val="en-CA" w:eastAsia="zh-CN"/>
        </w:rPr>
        <w:t>m/z</w:t>
      </w:r>
      <w:r w:rsidRPr="009A3C06">
        <w:rPr>
          <w:lang w:val="en-CA" w:eastAsia="zh-CN"/>
        </w:rPr>
        <w:t xml:space="preserve"> 887 and 985 remained without structural assignment.</w:t>
      </w:r>
    </w:p>
    <w:p w14:paraId="1A2AE40E" w14:textId="3225C115" w:rsidR="009A3C06" w:rsidRDefault="009A3C06" w:rsidP="009A3C06">
      <w:pPr>
        <w:pStyle w:val="MDPI31text"/>
        <w:rPr>
          <w:lang w:eastAsia="zh-CN"/>
        </w:rPr>
      </w:pPr>
    </w:p>
    <w:p w14:paraId="6D6D0ADB" w14:textId="520CFCAC" w:rsidR="00507EBA" w:rsidRDefault="00C77F4F" w:rsidP="00507EBA">
      <w:pPr>
        <w:pStyle w:val="MDPI31text"/>
        <w:ind w:firstLine="0"/>
        <w:rPr>
          <w:lang w:eastAsia="zh-CN"/>
        </w:rPr>
      </w:pPr>
      <w:r>
        <w:rPr>
          <w:noProof/>
          <w:snapToGrid/>
          <w:lang w:val="ru-RU" w:eastAsia="ru-RU"/>
        </w:rPr>
        <w:pict w14:anchorId="121458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i1025" type="#_x0000_t75" style="width:441pt;height:475.8pt;visibility:visible;mso-wrap-style:square">
            <v:imagedata r:id="rId7" o:title=""/>
          </v:shape>
        </w:pict>
      </w:r>
    </w:p>
    <w:p w14:paraId="59EBE8D5" w14:textId="49592FD4" w:rsidR="00507EBA" w:rsidRDefault="00507EBA" w:rsidP="00507EBA">
      <w:pPr>
        <w:pStyle w:val="MDPI51figurecaption"/>
      </w:pPr>
      <w:r w:rsidRPr="00B061A7">
        <w:rPr>
          <w:b/>
        </w:rPr>
        <w:t xml:space="preserve">Figure </w:t>
      </w:r>
      <w:r>
        <w:rPr>
          <w:b/>
        </w:rPr>
        <w:t>S1</w:t>
      </w:r>
      <w:r w:rsidRPr="00B061A7">
        <w:rPr>
          <w:b/>
        </w:rPr>
        <w:t>.</w:t>
      </w:r>
      <w:r w:rsidRPr="00B061A7">
        <w:t xml:space="preserve"> </w:t>
      </w:r>
      <w:r w:rsidRPr="008C61D4">
        <w:t xml:space="preserve">Zoom into the </w:t>
      </w:r>
      <w:r w:rsidRPr="008C61D4">
        <w:rPr>
          <w:i/>
        </w:rPr>
        <w:t>m/z</w:t>
      </w:r>
      <w:r w:rsidRPr="008C61D4">
        <w:t xml:space="preserve"> range between the most abundant degrees of polymerization, 7 and 8, of intracellular phlorotannin samples.</w:t>
      </w:r>
      <w:r>
        <w:t xml:space="preserve"> M</w:t>
      </w:r>
      <w:r w:rsidRPr="008C61D4">
        <w:t>ass spectra were averaged between retention times 4</w:t>
      </w:r>
      <w:r w:rsidR="00C77F4F">
        <w:t>–</w:t>
      </w:r>
      <w:r w:rsidRPr="008C61D4">
        <w:t xml:space="preserve">27 min in chromatograms obtained from the intracellular phlorotannin fraction of blade samples. In the top spectrum obtained from a </w:t>
      </w:r>
      <w:r w:rsidRPr="008C61D4">
        <w:rPr>
          <w:i/>
        </w:rPr>
        <w:t xml:space="preserve">F. </w:t>
      </w:r>
      <w:proofErr w:type="spellStart"/>
      <w:r w:rsidRPr="008C61D4">
        <w:rPr>
          <w:i/>
        </w:rPr>
        <w:t>vesiculosus</w:t>
      </w:r>
      <w:proofErr w:type="spellEnd"/>
      <w:r w:rsidRPr="008C61D4">
        <w:t xml:space="preserve"> sample, quantified series are colored in black while the non-quantified series are colored in grey. In addition, the most abundant signals of the quantified series are labeled with the exemplary structure proposal of the basic structural unit (see also Fig. 4, main manuscript). For a detailed description of the figure, all signals above the detection limit potentially originating from phlorotannin series are listed in the boxes placed above the ion current </w:t>
      </w:r>
      <w:r w:rsidRPr="008C61D4">
        <w:lastRenderedPageBreak/>
        <w:t xml:space="preserve">profile. While the spectrum of </w:t>
      </w:r>
      <w:r w:rsidRPr="008C61D4">
        <w:rPr>
          <w:i/>
        </w:rPr>
        <w:t xml:space="preserve">F. </w:t>
      </w:r>
      <w:proofErr w:type="spellStart"/>
      <w:r w:rsidRPr="008C61D4">
        <w:rPr>
          <w:i/>
        </w:rPr>
        <w:t>vesiculosus</w:t>
      </w:r>
      <w:proofErr w:type="spellEnd"/>
      <w:r w:rsidRPr="008C61D4">
        <w:t xml:space="preserve"> (top) is dominated by singly charged species (black), doubly charged (brown) and triply charged (green) species emerge in the spectra of </w:t>
      </w:r>
      <w:r w:rsidRPr="008C61D4">
        <w:rPr>
          <w:i/>
        </w:rPr>
        <w:t>F. serratus</w:t>
      </w:r>
      <w:r w:rsidRPr="008C61D4">
        <w:t xml:space="preserve"> (middle) and </w:t>
      </w:r>
      <w:r w:rsidRPr="008C61D4">
        <w:rPr>
          <w:i/>
        </w:rPr>
        <w:t xml:space="preserve">P. </w:t>
      </w:r>
      <w:proofErr w:type="spellStart"/>
      <w:r w:rsidRPr="008C61D4">
        <w:rPr>
          <w:i/>
        </w:rPr>
        <w:t>canaliculata</w:t>
      </w:r>
      <w:proofErr w:type="spellEnd"/>
      <w:r w:rsidRPr="008C61D4">
        <w:t xml:space="preserve"> (bottom).</w:t>
      </w:r>
    </w:p>
    <w:p w14:paraId="0C13227E" w14:textId="5E8D213A" w:rsidR="00507EBA" w:rsidRDefault="00507EBA" w:rsidP="00507EBA">
      <w:pPr>
        <w:pStyle w:val="MDPI31text"/>
        <w:rPr>
          <w:b/>
          <w:lang w:val="en-CA" w:eastAsia="zh-CN"/>
        </w:rPr>
      </w:pPr>
      <w:r w:rsidRPr="00507EBA">
        <w:rPr>
          <w:lang w:val="en-CA" w:eastAsia="zh-CN"/>
        </w:rPr>
        <w:t>Fig</w:t>
      </w:r>
      <w:r>
        <w:rPr>
          <w:lang w:val="en-CA" w:eastAsia="zh-CN"/>
        </w:rPr>
        <w:t>ure</w:t>
      </w:r>
      <w:r w:rsidRPr="00507EBA">
        <w:rPr>
          <w:lang w:val="en-CA" w:eastAsia="zh-CN"/>
        </w:rPr>
        <w:t xml:space="preserve"> S1 summarizes all </w:t>
      </w:r>
      <w:r w:rsidRPr="00507EBA">
        <w:rPr>
          <w:i/>
          <w:lang w:val="en-CA" w:eastAsia="zh-CN"/>
        </w:rPr>
        <w:t>m/z</w:t>
      </w:r>
      <w:r w:rsidRPr="00507EBA">
        <w:rPr>
          <w:lang w:val="en-CA" w:eastAsia="zh-CN"/>
        </w:rPr>
        <w:t xml:space="preserve"> values of potentially present series clearly illustrating the structural diversity within the phlorotannin profile of the analyzed species. According to the suggested structures for unknown series, we propose hydroxylation, </w:t>
      </w:r>
      <w:proofErr w:type="gramStart"/>
      <w:r w:rsidRPr="00507EBA">
        <w:rPr>
          <w:lang w:val="en-CA" w:eastAsia="zh-CN"/>
        </w:rPr>
        <w:t>acetylation</w:t>
      </w:r>
      <w:proofErr w:type="gramEnd"/>
      <w:r w:rsidRPr="00507EBA">
        <w:rPr>
          <w:lang w:val="en-CA" w:eastAsia="zh-CN"/>
        </w:rPr>
        <w:t xml:space="preserve"> and oxidation to be the main principles of phlorotannin modification in these algae. Though the use of electrospray </w:t>
      </w:r>
      <w:r w:rsidRPr="00C77F4F">
        <w:rPr>
          <w:lang w:val="en-CA" w:eastAsia="zh-CN"/>
        </w:rPr>
        <w:t>ionization may result in electrochemical redox reactions of target compounds as artifacts from analysis</w:t>
      </w:r>
      <w:r w:rsidR="00C77F4F">
        <w:rPr>
          <w:lang w:val="en-CA" w:eastAsia="zh-CN"/>
        </w:rPr>
        <w:t xml:space="preserve"> </w:t>
      </w:r>
      <w:r w:rsidRPr="00C77F4F">
        <w:rPr>
          <w:lang w:val="en-CA" w:eastAsia="zh-CN"/>
        </w:rPr>
        <w:t>[</w:t>
      </w:r>
      <w:r w:rsidR="00C77F4F">
        <w:rPr>
          <w:lang w:val="en-CA" w:eastAsia="zh-CN"/>
        </w:rPr>
        <w:t>72</w:t>
      </w:r>
      <w:r w:rsidRPr="00C77F4F">
        <w:rPr>
          <w:lang w:val="en-CA" w:eastAsia="zh-CN"/>
        </w:rPr>
        <w:t>],</w:t>
      </w:r>
      <w:r w:rsidRPr="00507EBA">
        <w:rPr>
          <w:lang w:val="en-CA" w:eastAsia="zh-CN"/>
        </w:rPr>
        <w:t xml:space="preserve"> the fact that we analyzed the phlorotannins in the negative ion mode renders </w:t>
      </w:r>
      <w:r w:rsidRPr="00507EBA">
        <w:rPr>
          <w:i/>
          <w:lang w:val="en-CA" w:eastAsia="zh-CN"/>
        </w:rPr>
        <w:t>in situ</w:t>
      </w:r>
      <w:r w:rsidRPr="00507EBA">
        <w:rPr>
          <w:lang w:val="en-CA" w:eastAsia="zh-CN"/>
        </w:rPr>
        <w:t>, i.e. in-source oxidation as artifact of the employed method unlikely. Thus, indeed we found no hints that the ratios of oxidized and reduced (quinone and phenol) form changed between positive and negative ion modes (not shown).</w:t>
      </w:r>
    </w:p>
    <w:p w14:paraId="46EAE8A6" w14:textId="0E7BAE5D" w:rsidR="00830C50" w:rsidRPr="00C207B2" w:rsidRDefault="00507EBA" w:rsidP="00830C50">
      <w:pPr>
        <w:pStyle w:val="MDPI21heading1"/>
      </w:pPr>
      <w:r>
        <w:rPr>
          <w:lang w:eastAsia="zh-CN"/>
        </w:rPr>
        <w:t>2</w:t>
      </w:r>
      <w:r w:rsidR="00830C50" w:rsidRPr="00C207B2">
        <w:rPr>
          <w:lang w:eastAsia="zh-CN"/>
        </w:rPr>
        <w:t xml:space="preserve">. </w:t>
      </w:r>
      <w:r w:rsidRPr="00507EBA">
        <w:rPr>
          <w:bCs/>
        </w:rPr>
        <w:t>Development of a data evaluation strategy for quantification of the complex phlorotannin patterns</w:t>
      </w:r>
    </w:p>
    <w:p w14:paraId="3470CDAA" w14:textId="127EB943" w:rsidR="00507EBA" w:rsidRDefault="00507EBA" w:rsidP="00507EBA">
      <w:pPr>
        <w:pStyle w:val="MDPI31text"/>
        <w:rPr>
          <w:bCs/>
          <w:lang w:val="en-CA"/>
        </w:rPr>
      </w:pPr>
      <w:bookmarkStart w:id="0" w:name="OLE_LINK1"/>
      <w:bookmarkStart w:id="1" w:name="OLE_LINK2"/>
      <w:r w:rsidRPr="00507EBA">
        <w:rPr>
          <w:bCs/>
          <w:lang w:val="en-CA"/>
        </w:rPr>
        <w:t>Chromatographic baseline separation of the complex phlorotannin mixture appeared impossible for degrees of polymerization beyond 10 (Fig</w:t>
      </w:r>
      <w:r w:rsidR="0066662D">
        <w:rPr>
          <w:bCs/>
          <w:lang w:val="en-CA"/>
        </w:rPr>
        <w:t>ure</w:t>
      </w:r>
      <w:r w:rsidRPr="00507EBA">
        <w:rPr>
          <w:bCs/>
          <w:lang w:val="en-CA"/>
        </w:rPr>
        <w:t xml:space="preserve"> S2) preventing from the application of targeted standard methods based on chromatographic peak finding and integration for quantification.</w:t>
      </w:r>
    </w:p>
    <w:p w14:paraId="5DD6048D" w14:textId="0AF25E48" w:rsidR="0066662D" w:rsidRPr="00507EBA" w:rsidRDefault="00C77F4F" w:rsidP="0066662D">
      <w:pPr>
        <w:pStyle w:val="MDPI31text"/>
        <w:ind w:firstLine="0"/>
        <w:rPr>
          <w:bCs/>
          <w:lang w:val="en-CA"/>
        </w:rPr>
      </w:pPr>
      <w:r>
        <w:rPr>
          <w:noProof/>
          <w:snapToGrid/>
          <w:lang w:val="ru-RU" w:eastAsia="ru-RU"/>
        </w:rPr>
        <w:pict w14:anchorId="3FA54DB3">
          <v:shape id="Grafik 1" o:spid="_x0000_i1026" type="#_x0000_t75" style="width:495.6pt;height:279.6pt;visibility:visible;mso-wrap-style:square">
            <v:imagedata r:id="rId8" o:title=""/>
          </v:shape>
        </w:pict>
      </w:r>
    </w:p>
    <w:p w14:paraId="18F2B51F" w14:textId="34D01EC0" w:rsidR="0066662D" w:rsidRDefault="0066662D" w:rsidP="0066662D">
      <w:pPr>
        <w:pStyle w:val="MDPI51figurecaption"/>
      </w:pPr>
      <w:r w:rsidRPr="00B061A7">
        <w:rPr>
          <w:b/>
        </w:rPr>
        <w:t xml:space="preserve">Figure </w:t>
      </w:r>
      <w:r>
        <w:rPr>
          <w:b/>
        </w:rPr>
        <w:t>S2</w:t>
      </w:r>
      <w:r w:rsidRPr="00B061A7">
        <w:rPr>
          <w:b/>
        </w:rPr>
        <w:t>.</w:t>
      </w:r>
      <w:r w:rsidRPr="00B061A7">
        <w:t xml:space="preserve"> </w:t>
      </w:r>
      <w:r w:rsidRPr="0066662D">
        <w:t xml:space="preserve">Exemplary extracted ion chromatograms of DP 3-8 of the </w:t>
      </w:r>
      <w:proofErr w:type="spellStart"/>
      <w:r w:rsidRPr="0066662D">
        <w:t>fucol</w:t>
      </w:r>
      <w:proofErr w:type="spellEnd"/>
      <w:r w:rsidRPr="0066662D">
        <w:t>/</w:t>
      </w:r>
      <w:proofErr w:type="spellStart"/>
      <w:r w:rsidRPr="0066662D">
        <w:t>fucophlorethol</w:t>
      </w:r>
      <w:proofErr w:type="spellEnd"/>
      <w:r w:rsidRPr="0066662D">
        <w:t xml:space="preserve"> series (</w:t>
      </w:r>
      <w:r w:rsidRPr="0066662D">
        <w:rPr>
          <w:i/>
        </w:rPr>
        <w:t>m/z</w:t>
      </w:r>
      <w:r w:rsidRPr="0066662D">
        <w:t xml:space="preserve"> 373-1241) in </w:t>
      </w:r>
      <w:r w:rsidRPr="0066662D">
        <w:rPr>
          <w:i/>
        </w:rPr>
        <w:t xml:space="preserve">F. </w:t>
      </w:r>
      <w:proofErr w:type="spellStart"/>
      <w:r w:rsidRPr="0066662D">
        <w:rPr>
          <w:i/>
        </w:rPr>
        <w:t>vesiculosus</w:t>
      </w:r>
      <w:proofErr w:type="spellEnd"/>
      <w:r w:rsidRPr="0066662D">
        <w:t xml:space="preserve"> and </w:t>
      </w:r>
      <w:r w:rsidRPr="0066662D">
        <w:rPr>
          <w:i/>
        </w:rPr>
        <w:t>F. serratus</w:t>
      </w:r>
      <w:r w:rsidRPr="0066662D">
        <w:t xml:space="preserve"> blades. Elution profiles suggest a rapidly increasing number of structural isomers (&gt;9) with higher degrees of polymerization, concluded from the increasing number of peaks for each particular </w:t>
      </w:r>
      <w:r w:rsidRPr="0066662D">
        <w:rPr>
          <w:i/>
        </w:rPr>
        <w:t>m/z</w:t>
      </w:r>
      <w:r w:rsidRPr="0066662D">
        <w:t xml:space="preserve"> eluting at different retention times; for higher DPs, coelution becomes too strong to further observe this effect and the signals merge creating plateaus</w:t>
      </w:r>
      <w:r w:rsidRPr="00B061A7">
        <w:t>.</w:t>
      </w:r>
    </w:p>
    <w:p w14:paraId="668EB811" w14:textId="3BA7C09E" w:rsidR="00507EBA" w:rsidRPr="00507EBA" w:rsidRDefault="00507EBA" w:rsidP="00507EBA">
      <w:pPr>
        <w:pStyle w:val="MDPI31text"/>
      </w:pPr>
      <w:r w:rsidRPr="00507EBA">
        <w:rPr>
          <w:lang w:val="en-GB"/>
        </w:rPr>
        <w:t xml:space="preserve">LC-RP columns separate by polar/nonpolar interactions with the analyte; the polarity of molecules with higher DPs is more similar than at lower DPs so that an increasing number of isomeric molecular species with identical </w:t>
      </w:r>
      <w:r w:rsidRPr="00507EBA">
        <w:rPr>
          <w:i/>
          <w:lang w:val="en-GB"/>
        </w:rPr>
        <w:t>m/z</w:t>
      </w:r>
      <w:r w:rsidRPr="00507EBA">
        <w:rPr>
          <w:lang w:val="en-GB"/>
        </w:rPr>
        <w:t xml:space="preserve"> coelute at later retention times disabling accurate automated peak recognition. </w:t>
      </w:r>
      <w:r w:rsidRPr="00507EBA">
        <w:t xml:space="preserve">Consequently, we had to develop an alternative quantification protocol </w:t>
      </w:r>
      <w:r w:rsidRPr="00507EBA">
        <w:lastRenderedPageBreak/>
        <w:t>to estimate the relative content of different phlorotannins. For this, we anticipated quantification based on the averaged intensity of the mass-spectral signals.</w:t>
      </w:r>
    </w:p>
    <w:p w14:paraId="0C383EB1" w14:textId="77777777" w:rsidR="00507EBA" w:rsidRPr="00507EBA" w:rsidRDefault="00507EBA" w:rsidP="00507EBA">
      <w:pPr>
        <w:pStyle w:val="MDPI31text"/>
        <w:rPr>
          <w:lang w:val="en-GB"/>
        </w:rPr>
      </w:pPr>
      <w:r w:rsidRPr="00507EBA">
        <w:rPr>
          <w:lang w:val="en-GB"/>
        </w:rPr>
        <w:t xml:space="preserve">We carefully considered the following </w:t>
      </w:r>
      <w:r w:rsidRPr="00507EBA">
        <w:rPr>
          <w:b/>
          <w:lang w:val="en-GB"/>
        </w:rPr>
        <w:t>critical issues</w:t>
      </w:r>
      <w:r w:rsidRPr="00507EBA">
        <w:rPr>
          <w:lang w:val="en-GB"/>
        </w:rPr>
        <w:t xml:space="preserve"> to compare signals all over the LC-MS chromatogram range in a semi-quantitative approach:</w:t>
      </w:r>
    </w:p>
    <w:p w14:paraId="64C9CFF6" w14:textId="77777777" w:rsidR="00507EBA" w:rsidRPr="00507EBA" w:rsidRDefault="00507EBA" w:rsidP="00507EBA">
      <w:pPr>
        <w:pStyle w:val="MDPI31text"/>
        <w:numPr>
          <w:ilvl w:val="0"/>
          <w:numId w:val="6"/>
        </w:numPr>
        <w:rPr>
          <w:lang w:val="en-GB"/>
        </w:rPr>
      </w:pPr>
      <w:r w:rsidRPr="00507EBA">
        <w:rPr>
          <w:lang w:val="en-GB"/>
        </w:rPr>
        <w:t>When averaging over low-noise and high-noise regions simultaneously, smaller signals in the low noise region might go undetected because averaging the noise as well.</w:t>
      </w:r>
    </w:p>
    <w:p w14:paraId="2D3BEB08" w14:textId="77777777" w:rsidR="00507EBA" w:rsidRPr="00507EBA" w:rsidRDefault="00507EBA" w:rsidP="00507EBA">
      <w:pPr>
        <w:pStyle w:val="MDPI31text"/>
        <w:numPr>
          <w:ilvl w:val="0"/>
          <w:numId w:val="6"/>
        </w:numPr>
        <w:rPr>
          <w:lang w:val="en-GB"/>
        </w:rPr>
      </w:pPr>
      <w:r w:rsidRPr="00507EBA">
        <w:rPr>
          <w:lang w:val="en-GB"/>
        </w:rPr>
        <w:t xml:space="preserve">Different charge states may overlap creating identical </w:t>
      </w:r>
      <w:r w:rsidRPr="00507EBA">
        <w:rPr>
          <w:i/>
          <w:lang w:val="en-GB"/>
        </w:rPr>
        <w:t>m/z</w:t>
      </w:r>
      <w:r w:rsidRPr="00507EBA">
        <w:rPr>
          <w:lang w:val="en-GB"/>
        </w:rPr>
        <w:t xml:space="preserve"> values (e.g. a doubly charged molecule twice the degree of polymerization overlaps with its singly charged counterpart). </w:t>
      </w:r>
    </w:p>
    <w:p w14:paraId="6EB46380" w14:textId="77777777" w:rsidR="00507EBA" w:rsidRPr="00507EBA" w:rsidRDefault="00507EBA" w:rsidP="00507EBA">
      <w:pPr>
        <w:pStyle w:val="MDPI31text"/>
        <w:numPr>
          <w:ilvl w:val="0"/>
          <w:numId w:val="6"/>
        </w:numPr>
        <w:rPr>
          <w:lang w:val="en-GB"/>
        </w:rPr>
      </w:pPr>
      <w:r w:rsidRPr="00507EBA">
        <w:rPr>
          <w:lang w:val="en-GB"/>
        </w:rPr>
        <w:t xml:space="preserve">Species of higher molecular mass have a higher abundance of isotopic companion peaks leading to a bias in favour of low molecular weight species if quantifying the monoisotopic peak only which on the other hand is advantageous to prevent from inaccurate quantification due to overlapping with species of multiplied DP and charge state. </w:t>
      </w:r>
    </w:p>
    <w:p w14:paraId="195A1E49" w14:textId="4E1B4739" w:rsidR="00507EBA" w:rsidRDefault="00507EBA" w:rsidP="00507EBA">
      <w:pPr>
        <w:pStyle w:val="MDPI31text"/>
        <w:rPr>
          <w:lang w:val="en-GB"/>
        </w:rPr>
      </w:pPr>
      <w:r w:rsidRPr="00507EBA">
        <w:rPr>
          <w:lang w:val="en-GB"/>
        </w:rPr>
        <w:t xml:space="preserve">In conclusion, the selection of regions in the chromatogram used for averaging the mass spectra needs great care avoiding any distortion of the obtained phlorotannin pattern. Therefore, we developed the following </w:t>
      </w:r>
      <w:r w:rsidRPr="00507EBA">
        <w:rPr>
          <w:b/>
          <w:lang w:val="en-GB"/>
        </w:rPr>
        <w:t>procedure for evaluation</w:t>
      </w:r>
      <w:r w:rsidRPr="00507EBA">
        <w:rPr>
          <w:lang w:val="en-GB"/>
        </w:rPr>
        <w:t xml:space="preserve"> of our data.</w:t>
      </w:r>
    </w:p>
    <w:p w14:paraId="078834A5" w14:textId="77777777" w:rsidR="00507EBA" w:rsidRPr="00507EBA" w:rsidRDefault="00507EBA" w:rsidP="00507EBA">
      <w:pPr>
        <w:pStyle w:val="MDPI31text"/>
        <w:rPr>
          <w:lang w:val="en-GB"/>
        </w:rPr>
      </w:pPr>
    </w:p>
    <w:p w14:paraId="3148A8DE" w14:textId="5FCF0D9C" w:rsidR="00507EBA" w:rsidRDefault="00507EBA" w:rsidP="00507EBA">
      <w:pPr>
        <w:pStyle w:val="MDPI31text"/>
        <w:numPr>
          <w:ilvl w:val="0"/>
          <w:numId w:val="4"/>
        </w:numPr>
        <w:rPr>
          <w:lang w:val="en-GB"/>
        </w:rPr>
      </w:pPr>
      <w:r w:rsidRPr="00507EBA">
        <w:rPr>
          <w:lang w:val="en-GB"/>
        </w:rPr>
        <w:t xml:space="preserve">We identified and defined </w:t>
      </w:r>
      <w:r w:rsidRPr="00507EBA">
        <w:rPr>
          <w:i/>
          <w:lang w:val="en-GB"/>
        </w:rPr>
        <w:t>three different noise regions</w:t>
      </w:r>
      <w:r w:rsidRPr="00507EBA">
        <w:rPr>
          <w:lang w:val="en-GB"/>
        </w:rPr>
        <w:t xml:space="preserve"> in the chromatograms: </w:t>
      </w:r>
    </w:p>
    <w:p w14:paraId="254A0F3C" w14:textId="77777777" w:rsidR="00507EBA" w:rsidRPr="00507EBA" w:rsidRDefault="00507EBA" w:rsidP="00507EBA">
      <w:pPr>
        <w:pStyle w:val="MDPI31text"/>
        <w:ind w:left="456" w:firstLine="0"/>
        <w:rPr>
          <w:lang w:val="en-GB"/>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088"/>
      </w:tblGrid>
      <w:tr w:rsidR="00507EBA" w:rsidRPr="00507EBA" w14:paraId="7865391E" w14:textId="77777777" w:rsidTr="00507EBA">
        <w:tc>
          <w:tcPr>
            <w:tcW w:w="1701" w:type="dxa"/>
          </w:tcPr>
          <w:p w14:paraId="4B831807" w14:textId="77777777" w:rsidR="00507EBA" w:rsidRPr="00507EBA" w:rsidRDefault="00507EBA" w:rsidP="00507EBA">
            <w:pPr>
              <w:pStyle w:val="MDPI31text"/>
              <w:ind w:firstLine="0"/>
              <w:rPr>
                <w:lang w:val="en-GB"/>
              </w:rPr>
            </w:pPr>
            <w:r w:rsidRPr="00507EBA">
              <w:rPr>
                <w:lang w:val="en-GB"/>
              </w:rPr>
              <w:t>2-17 min</w:t>
            </w:r>
          </w:p>
        </w:tc>
        <w:tc>
          <w:tcPr>
            <w:tcW w:w="7088" w:type="dxa"/>
          </w:tcPr>
          <w:p w14:paraId="7F3D940A" w14:textId="77777777" w:rsidR="00507EBA" w:rsidRPr="00507EBA" w:rsidRDefault="00507EBA" w:rsidP="00507EBA">
            <w:pPr>
              <w:pStyle w:val="MDPI31text"/>
              <w:ind w:firstLine="31"/>
              <w:rPr>
                <w:lang w:val="en-GB"/>
              </w:rPr>
            </w:pPr>
            <w:r w:rsidRPr="00507EBA">
              <w:rPr>
                <w:lang w:val="en-GB"/>
              </w:rPr>
              <w:t>Low noise with distinct chromatographic peaks</w:t>
            </w:r>
          </w:p>
        </w:tc>
      </w:tr>
      <w:tr w:rsidR="00507EBA" w:rsidRPr="00507EBA" w14:paraId="66EAD1A7" w14:textId="77777777" w:rsidTr="00507EBA">
        <w:tc>
          <w:tcPr>
            <w:tcW w:w="1701" w:type="dxa"/>
          </w:tcPr>
          <w:p w14:paraId="5E4D2CE8" w14:textId="77777777" w:rsidR="00507EBA" w:rsidRPr="00507EBA" w:rsidRDefault="00507EBA" w:rsidP="00507EBA">
            <w:pPr>
              <w:pStyle w:val="MDPI31text"/>
              <w:ind w:firstLine="0"/>
              <w:rPr>
                <w:lang w:val="en-GB"/>
              </w:rPr>
            </w:pPr>
            <w:r w:rsidRPr="00507EBA">
              <w:rPr>
                <w:lang w:val="en-GB"/>
              </w:rPr>
              <w:t>16/17-25/27 min</w:t>
            </w:r>
          </w:p>
        </w:tc>
        <w:tc>
          <w:tcPr>
            <w:tcW w:w="7088" w:type="dxa"/>
          </w:tcPr>
          <w:p w14:paraId="51C0A79B" w14:textId="77777777" w:rsidR="00507EBA" w:rsidRPr="00507EBA" w:rsidRDefault="00507EBA" w:rsidP="00507EBA">
            <w:pPr>
              <w:pStyle w:val="MDPI31text"/>
              <w:ind w:firstLine="31"/>
              <w:rPr>
                <w:lang w:val="en-GB"/>
              </w:rPr>
            </w:pPr>
            <w:r w:rsidRPr="00507EBA">
              <w:rPr>
                <w:lang w:val="en-GB"/>
              </w:rPr>
              <w:t>Enhanced noise, overlapping chromatographic peaks and charge states</w:t>
            </w:r>
          </w:p>
        </w:tc>
      </w:tr>
      <w:tr w:rsidR="00507EBA" w:rsidRPr="00507EBA" w14:paraId="410C096D" w14:textId="77777777" w:rsidTr="00507EBA">
        <w:tc>
          <w:tcPr>
            <w:tcW w:w="1701" w:type="dxa"/>
          </w:tcPr>
          <w:p w14:paraId="5979E688" w14:textId="77777777" w:rsidR="00507EBA" w:rsidRPr="00507EBA" w:rsidRDefault="00507EBA" w:rsidP="00507EBA">
            <w:pPr>
              <w:pStyle w:val="MDPI31text"/>
              <w:ind w:firstLine="0"/>
              <w:rPr>
                <w:lang w:val="en-GB"/>
              </w:rPr>
            </w:pPr>
            <w:r w:rsidRPr="00507EBA">
              <w:rPr>
                <w:lang w:val="en-GB"/>
              </w:rPr>
              <w:t>25/27-35/38 min</w:t>
            </w:r>
          </w:p>
        </w:tc>
        <w:tc>
          <w:tcPr>
            <w:tcW w:w="7088" w:type="dxa"/>
          </w:tcPr>
          <w:p w14:paraId="348DDAB4" w14:textId="77777777" w:rsidR="00507EBA" w:rsidRPr="00507EBA" w:rsidRDefault="00507EBA" w:rsidP="00507EBA">
            <w:pPr>
              <w:pStyle w:val="MDPI31text"/>
              <w:ind w:firstLine="31"/>
              <w:rPr>
                <w:lang w:val="en-GB"/>
              </w:rPr>
            </w:pPr>
            <w:r w:rsidRPr="00507EBA">
              <w:rPr>
                <w:lang w:val="en-GB"/>
              </w:rPr>
              <w:t>High noise, no chromatographic separation, low abundant target peaks</w:t>
            </w:r>
          </w:p>
        </w:tc>
      </w:tr>
    </w:tbl>
    <w:p w14:paraId="081BA57A" w14:textId="77777777" w:rsidR="00507EBA" w:rsidRDefault="00507EBA" w:rsidP="00507EBA">
      <w:pPr>
        <w:pStyle w:val="MDPI31text"/>
        <w:ind w:left="360" w:firstLine="0"/>
        <w:rPr>
          <w:lang w:val="en-GB"/>
        </w:rPr>
      </w:pPr>
    </w:p>
    <w:p w14:paraId="05D272DE" w14:textId="13DE9318" w:rsidR="00507EBA" w:rsidRDefault="00507EBA" w:rsidP="00507EBA">
      <w:pPr>
        <w:pStyle w:val="MDPI31text"/>
        <w:numPr>
          <w:ilvl w:val="0"/>
          <w:numId w:val="7"/>
        </w:numPr>
        <w:rPr>
          <w:lang w:val="en-GB"/>
        </w:rPr>
      </w:pPr>
      <w:r w:rsidRPr="00507EBA">
        <w:rPr>
          <w:lang w:val="en-GB"/>
        </w:rPr>
        <w:t xml:space="preserve">Charge states started overlapping in the chromatogram after 20 min retention time. This effect was species-specific: while for </w:t>
      </w:r>
      <w:r w:rsidRPr="00507EBA">
        <w:rPr>
          <w:i/>
          <w:lang w:val="en-GB"/>
        </w:rPr>
        <w:t xml:space="preserve">F. </w:t>
      </w:r>
      <w:proofErr w:type="spellStart"/>
      <w:r w:rsidRPr="00507EBA">
        <w:rPr>
          <w:i/>
          <w:lang w:val="en-GB"/>
        </w:rPr>
        <w:t>vesiculosus</w:t>
      </w:r>
      <w:proofErr w:type="spellEnd"/>
      <w:r w:rsidRPr="00507EBA">
        <w:rPr>
          <w:lang w:val="en-GB"/>
        </w:rPr>
        <w:t xml:space="preserve"> singly charged </w:t>
      </w:r>
      <w:proofErr w:type="spellStart"/>
      <w:r w:rsidRPr="00507EBA">
        <w:rPr>
          <w:lang w:val="en-GB"/>
        </w:rPr>
        <w:t>fucols</w:t>
      </w:r>
      <w:proofErr w:type="spellEnd"/>
      <w:r w:rsidRPr="00507EBA">
        <w:rPr>
          <w:lang w:val="en-GB"/>
        </w:rPr>
        <w:t>/</w:t>
      </w:r>
      <w:proofErr w:type="spellStart"/>
      <w:r w:rsidRPr="00507EBA">
        <w:rPr>
          <w:lang w:val="en-GB"/>
        </w:rPr>
        <w:t>phlorethols</w:t>
      </w:r>
      <w:proofErr w:type="spellEnd"/>
      <w:r w:rsidRPr="00507EBA">
        <w:rPr>
          <w:lang w:val="en-GB"/>
        </w:rPr>
        <w:t xml:space="preserve"> are most abundant, 2-fold and even 3-fold charged species were observed in </w:t>
      </w:r>
      <w:r w:rsidRPr="00507EBA">
        <w:rPr>
          <w:i/>
          <w:lang w:val="en-GB"/>
        </w:rPr>
        <w:t xml:space="preserve">F. serratus </w:t>
      </w:r>
      <w:r w:rsidRPr="00507EBA">
        <w:rPr>
          <w:lang w:val="en-GB"/>
        </w:rPr>
        <w:t>which further increased in</w:t>
      </w:r>
      <w:r w:rsidRPr="00507EBA">
        <w:rPr>
          <w:i/>
          <w:lang w:val="en-GB"/>
        </w:rPr>
        <w:t xml:space="preserve"> P. </w:t>
      </w:r>
      <w:proofErr w:type="spellStart"/>
      <w:r w:rsidRPr="00507EBA">
        <w:rPr>
          <w:i/>
          <w:lang w:val="en-GB"/>
        </w:rPr>
        <w:t>canaliculata</w:t>
      </w:r>
      <w:proofErr w:type="spellEnd"/>
      <w:r w:rsidRPr="00507EBA">
        <w:rPr>
          <w:i/>
          <w:lang w:val="en-GB"/>
        </w:rPr>
        <w:t xml:space="preserve">. </w:t>
      </w:r>
      <w:r w:rsidRPr="00507EBA">
        <w:rPr>
          <w:lang w:val="en-GB"/>
        </w:rPr>
        <w:t xml:space="preserve">To prevent from fundamentally wrong assignment, we identified and defined </w:t>
      </w:r>
      <w:r w:rsidRPr="00507EBA">
        <w:rPr>
          <w:i/>
          <w:lang w:val="en-GB"/>
        </w:rPr>
        <w:t>four different charge-state regions</w:t>
      </w:r>
      <w:r w:rsidRPr="00507EBA">
        <w:rPr>
          <w:lang w:val="en-GB"/>
        </w:rPr>
        <w:t xml:space="preserve">: </w:t>
      </w:r>
    </w:p>
    <w:p w14:paraId="5CBDC613" w14:textId="77777777" w:rsidR="00507EBA" w:rsidRPr="00507EBA" w:rsidRDefault="00507EBA" w:rsidP="00507EBA">
      <w:pPr>
        <w:pStyle w:val="MDPI31text"/>
        <w:ind w:left="360" w:firstLine="0"/>
        <w:rPr>
          <w:lang w:val="en-GB"/>
        </w:rPr>
      </w:pPr>
    </w:p>
    <w:tbl>
      <w:tblPr>
        <w:tblpPr w:leftFromText="180" w:rightFromText="180" w:vertAnchor="text" w:horzAnchor="margin" w:tblpX="108" w:tblpY="2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379"/>
      </w:tblGrid>
      <w:tr w:rsidR="00507EBA" w:rsidRPr="00507EBA" w14:paraId="514E6D87" w14:textId="77777777" w:rsidTr="00507EBA">
        <w:tc>
          <w:tcPr>
            <w:tcW w:w="2376" w:type="dxa"/>
          </w:tcPr>
          <w:p w14:paraId="758D6112" w14:textId="77777777" w:rsidR="00507EBA" w:rsidRPr="00507EBA" w:rsidRDefault="00507EBA" w:rsidP="00507EBA">
            <w:pPr>
              <w:pStyle w:val="MDPI31text"/>
              <w:ind w:firstLine="0"/>
              <w:rPr>
                <w:lang w:val="en-CA"/>
              </w:rPr>
            </w:pPr>
            <w:r w:rsidRPr="00507EBA">
              <w:rPr>
                <w:lang w:val="en-CA"/>
              </w:rPr>
              <w:t>2-22 min</w:t>
            </w:r>
          </w:p>
        </w:tc>
        <w:tc>
          <w:tcPr>
            <w:tcW w:w="6379" w:type="dxa"/>
          </w:tcPr>
          <w:p w14:paraId="4BD1F91B" w14:textId="77777777" w:rsidR="00507EBA" w:rsidRPr="00507EBA" w:rsidRDefault="00507EBA" w:rsidP="00507EBA">
            <w:pPr>
              <w:pStyle w:val="MDPI31text"/>
              <w:ind w:firstLine="0"/>
              <w:rPr>
                <w:lang w:val="en-GB"/>
              </w:rPr>
            </w:pPr>
            <w:r w:rsidRPr="00507EBA">
              <w:rPr>
                <w:lang w:val="en-GB"/>
              </w:rPr>
              <w:t>singly charged phlorotannins with aryl and ether linkages</w:t>
            </w:r>
          </w:p>
        </w:tc>
      </w:tr>
      <w:tr w:rsidR="00507EBA" w:rsidRPr="00507EBA" w14:paraId="6177A3F0" w14:textId="77777777" w:rsidTr="00507EBA">
        <w:tc>
          <w:tcPr>
            <w:tcW w:w="2376" w:type="dxa"/>
          </w:tcPr>
          <w:p w14:paraId="48CCC363" w14:textId="77777777" w:rsidR="00507EBA" w:rsidRPr="00507EBA" w:rsidRDefault="00507EBA" w:rsidP="00507EBA">
            <w:pPr>
              <w:pStyle w:val="MDPI31text"/>
              <w:ind w:firstLine="0"/>
              <w:rPr>
                <w:lang w:val="en-CA"/>
              </w:rPr>
            </w:pPr>
            <w:r w:rsidRPr="00507EBA">
              <w:rPr>
                <w:lang w:val="en-CA"/>
              </w:rPr>
              <w:t xml:space="preserve">16/17-24 and 28-36 min </w:t>
            </w:r>
          </w:p>
        </w:tc>
        <w:tc>
          <w:tcPr>
            <w:tcW w:w="6379" w:type="dxa"/>
          </w:tcPr>
          <w:p w14:paraId="727083A7" w14:textId="77777777" w:rsidR="00507EBA" w:rsidRPr="00507EBA" w:rsidRDefault="00507EBA" w:rsidP="00507EBA">
            <w:pPr>
              <w:pStyle w:val="MDPI31text"/>
              <w:ind w:firstLine="0"/>
              <w:rPr>
                <w:lang w:val="en-CA"/>
              </w:rPr>
            </w:pPr>
            <w:r w:rsidRPr="00507EBA">
              <w:rPr>
                <w:lang w:val="en-CA"/>
              </w:rPr>
              <w:t>singly charged dibenzo-1,4-dioxins</w:t>
            </w:r>
          </w:p>
        </w:tc>
      </w:tr>
      <w:tr w:rsidR="00507EBA" w:rsidRPr="00507EBA" w14:paraId="4ECBE961" w14:textId="77777777" w:rsidTr="00507EBA">
        <w:tc>
          <w:tcPr>
            <w:tcW w:w="2376" w:type="dxa"/>
          </w:tcPr>
          <w:p w14:paraId="45D91B35" w14:textId="77777777" w:rsidR="00507EBA" w:rsidRPr="00507EBA" w:rsidRDefault="00507EBA" w:rsidP="00507EBA">
            <w:pPr>
              <w:pStyle w:val="MDPI31text"/>
              <w:ind w:firstLine="0"/>
              <w:rPr>
                <w:lang w:val="en-CA"/>
              </w:rPr>
            </w:pPr>
            <w:r w:rsidRPr="00507EBA">
              <w:rPr>
                <w:lang w:val="en-CA"/>
              </w:rPr>
              <w:t>20-24 min</w:t>
            </w:r>
          </w:p>
        </w:tc>
        <w:tc>
          <w:tcPr>
            <w:tcW w:w="6379" w:type="dxa"/>
          </w:tcPr>
          <w:p w14:paraId="34F5A51C" w14:textId="77777777" w:rsidR="00507EBA" w:rsidRPr="00507EBA" w:rsidRDefault="00507EBA" w:rsidP="00507EBA">
            <w:pPr>
              <w:pStyle w:val="MDPI31text"/>
              <w:ind w:firstLine="0"/>
              <w:rPr>
                <w:lang w:val="en-GB"/>
              </w:rPr>
            </w:pPr>
            <w:r w:rsidRPr="00507EBA">
              <w:rPr>
                <w:lang w:val="en-GB"/>
              </w:rPr>
              <w:t xml:space="preserve">doubly charged species in </w:t>
            </w:r>
            <w:r w:rsidRPr="00507EBA">
              <w:rPr>
                <w:i/>
                <w:lang w:val="en-GB"/>
              </w:rPr>
              <w:t>F. serratus</w:t>
            </w:r>
            <w:r w:rsidRPr="00507EBA">
              <w:rPr>
                <w:lang w:val="en-GB"/>
              </w:rPr>
              <w:t xml:space="preserve"> and </w:t>
            </w:r>
            <w:r w:rsidRPr="00507EBA">
              <w:rPr>
                <w:i/>
                <w:lang w:val="en-GB"/>
              </w:rPr>
              <w:t xml:space="preserve">P. </w:t>
            </w:r>
            <w:proofErr w:type="spellStart"/>
            <w:r w:rsidRPr="00507EBA">
              <w:rPr>
                <w:i/>
                <w:lang w:val="en-GB"/>
              </w:rPr>
              <w:t>canaliculata</w:t>
            </w:r>
            <w:proofErr w:type="spellEnd"/>
          </w:p>
        </w:tc>
      </w:tr>
      <w:tr w:rsidR="00507EBA" w:rsidRPr="00507EBA" w14:paraId="0B326F9D" w14:textId="77777777" w:rsidTr="00507EBA">
        <w:tc>
          <w:tcPr>
            <w:tcW w:w="2376" w:type="dxa"/>
          </w:tcPr>
          <w:p w14:paraId="7FC50FA4" w14:textId="77777777" w:rsidR="00507EBA" w:rsidRPr="00507EBA" w:rsidRDefault="00507EBA" w:rsidP="00507EBA">
            <w:pPr>
              <w:pStyle w:val="MDPI31text"/>
              <w:ind w:firstLine="0"/>
              <w:rPr>
                <w:lang w:val="en-CA"/>
              </w:rPr>
            </w:pPr>
            <w:r w:rsidRPr="00507EBA">
              <w:rPr>
                <w:lang w:val="en-CA"/>
              </w:rPr>
              <w:t>24-28 min</w:t>
            </w:r>
          </w:p>
        </w:tc>
        <w:tc>
          <w:tcPr>
            <w:tcW w:w="6379" w:type="dxa"/>
          </w:tcPr>
          <w:p w14:paraId="45F60BE0" w14:textId="77777777" w:rsidR="00507EBA" w:rsidRPr="00507EBA" w:rsidRDefault="00507EBA" w:rsidP="00507EBA">
            <w:pPr>
              <w:pStyle w:val="MDPI31text"/>
              <w:ind w:firstLine="0"/>
              <w:rPr>
                <w:lang w:val="en-CA"/>
              </w:rPr>
            </w:pPr>
            <w:r w:rsidRPr="00507EBA">
              <w:rPr>
                <w:lang w:val="en-CA"/>
              </w:rPr>
              <w:t>triply charged species</w:t>
            </w:r>
          </w:p>
        </w:tc>
      </w:tr>
    </w:tbl>
    <w:p w14:paraId="26269A94" w14:textId="77777777" w:rsidR="00507EBA" w:rsidRDefault="00507EBA" w:rsidP="00507EBA">
      <w:pPr>
        <w:pStyle w:val="MDPI31text"/>
        <w:rPr>
          <w:lang w:val="en-GB"/>
        </w:rPr>
      </w:pPr>
    </w:p>
    <w:p w14:paraId="28F08858" w14:textId="5B463DF0" w:rsidR="00507EBA" w:rsidRPr="00507EBA" w:rsidRDefault="00507EBA" w:rsidP="00507EBA">
      <w:pPr>
        <w:pStyle w:val="MDPI31text"/>
        <w:rPr>
          <w:lang w:val="en-GB"/>
        </w:rPr>
      </w:pPr>
      <w:r w:rsidRPr="00507EBA">
        <w:rPr>
          <w:lang w:val="en-GB"/>
        </w:rPr>
        <w:t>Consequently, we finally considered five different chromatogram regions in total to produce average spectra from our data: 2-17 min, 16/17-20 min, 20-24 min, 24-28 min, and 28-36 min (Fig</w:t>
      </w:r>
      <w:r w:rsidR="0066662D">
        <w:rPr>
          <w:lang w:val="en-GB"/>
        </w:rPr>
        <w:t>ure</w:t>
      </w:r>
      <w:r w:rsidRPr="00507EBA">
        <w:rPr>
          <w:lang w:val="en-GB"/>
        </w:rPr>
        <w:t xml:space="preserve"> S3). </w:t>
      </w:r>
    </w:p>
    <w:p w14:paraId="2EAB5530" w14:textId="77777777" w:rsidR="00507EBA" w:rsidRPr="00507EBA" w:rsidRDefault="00507EBA" w:rsidP="00507EBA">
      <w:pPr>
        <w:pStyle w:val="MDPI31text"/>
        <w:rPr>
          <w:lang w:val="en-GB"/>
        </w:rPr>
      </w:pPr>
      <w:r w:rsidRPr="00507EBA">
        <w:t>For creating mass lists from the averaged spectra, we used the “find”/“mass list” feature of Bruker Data analysis 4.2 and iterated the default settings to find the following optimized parameters: peak width (FWHM) (</w:t>
      </w:r>
      <w:r w:rsidRPr="00507EBA">
        <w:rPr>
          <w:i/>
        </w:rPr>
        <w:t>m/z</w:t>
      </w:r>
      <w:r w:rsidRPr="00507EBA">
        <w:t xml:space="preserve">) 0.1; </w:t>
      </w:r>
      <w:r w:rsidRPr="00507EBA">
        <w:rPr>
          <w:lang w:val="en-GB"/>
        </w:rPr>
        <w:t>S/N threshold 0.25; r</w:t>
      </w:r>
      <w:r w:rsidRPr="00507EBA">
        <w:t>elative intensity threshold 0; absolute</w:t>
      </w:r>
      <w:r w:rsidRPr="00507EBA">
        <w:rPr>
          <w:lang w:val="en-GB"/>
        </w:rPr>
        <w:t xml:space="preserve"> intensity threshold 0. We used the scripting option to automatically average mass spectra within each of the defined five retention time regions for all 144 chromatograms and export the data as .csv files.</w:t>
      </w:r>
    </w:p>
    <w:p w14:paraId="7DEFD545" w14:textId="407BD821" w:rsidR="00507EBA" w:rsidRPr="00507EBA" w:rsidRDefault="00507EBA" w:rsidP="00507EBA">
      <w:pPr>
        <w:pStyle w:val="MDPI31text"/>
        <w:rPr>
          <w:lang w:val="en-GB"/>
        </w:rPr>
      </w:pPr>
      <w:r w:rsidRPr="00507EBA">
        <w:rPr>
          <w:lang w:val="en-GB"/>
        </w:rPr>
        <w:t xml:space="preserve">All expected target </w:t>
      </w:r>
      <w:r w:rsidRPr="00507EBA">
        <w:rPr>
          <w:i/>
          <w:lang w:val="en-GB"/>
        </w:rPr>
        <w:t>m/z</w:t>
      </w:r>
      <w:r w:rsidRPr="00507EBA">
        <w:rPr>
          <w:lang w:val="en-GB"/>
        </w:rPr>
        <w:t xml:space="preserve"> corresponding to each DP of the eight quantified series were calculated across the three detected charge states (-1</w:t>
      </w:r>
      <w:r w:rsidR="00C77F4F">
        <w:rPr>
          <w:lang w:val="en-GB"/>
        </w:rPr>
        <w:t>–</w:t>
      </w:r>
      <w:r w:rsidRPr="00507EBA">
        <w:rPr>
          <w:lang w:val="en-GB"/>
        </w:rPr>
        <w:t xml:space="preserve">-3). For identical </w:t>
      </w:r>
      <w:r w:rsidRPr="00507EBA">
        <w:rPr>
          <w:i/>
          <w:lang w:val="en-GB"/>
        </w:rPr>
        <w:t>m/z</w:t>
      </w:r>
      <w:r w:rsidRPr="00507EBA">
        <w:rPr>
          <w:lang w:val="en-GB"/>
        </w:rPr>
        <w:t xml:space="preserve"> in this list, the charge state was selected matching the corresponding chromatogram region (see above, table of charge states). At this point, it was impossible to prevent from discrimination of less abundant overlapping species of the same </w:t>
      </w:r>
      <w:r w:rsidRPr="00507EBA">
        <w:rPr>
          <w:i/>
          <w:lang w:val="en-GB"/>
        </w:rPr>
        <w:t>m/z</w:t>
      </w:r>
      <w:r w:rsidRPr="00507EBA">
        <w:rPr>
          <w:lang w:val="en-GB"/>
        </w:rPr>
        <w:t xml:space="preserve"> (mostly the higher charged species, i.e. higher degree of polymerization), so that our data still might be slightly biased towards lower DPs. If this appearance should be somehow relevant, it would be the most for </w:t>
      </w:r>
      <w:r w:rsidRPr="00507EBA">
        <w:rPr>
          <w:i/>
          <w:lang w:val="en-GB"/>
        </w:rPr>
        <w:t>F. serratus</w:t>
      </w:r>
      <w:r w:rsidRPr="00507EBA">
        <w:rPr>
          <w:lang w:val="en-GB"/>
        </w:rPr>
        <w:t xml:space="preserve"> concluding from the mass spectra illustrated in Fig</w:t>
      </w:r>
      <w:r w:rsidR="0066662D">
        <w:rPr>
          <w:lang w:val="en-GB"/>
        </w:rPr>
        <w:t>ure</w:t>
      </w:r>
      <w:r w:rsidRPr="00507EBA">
        <w:rPr>
          <w:lang w:val="en-GB"/>
        </w:rPr>
        <w:t xml:space="preserve"> 3 in the main manuscript where the twofold charged species feature a rather high relative abundance while for </w:t>
      </w:r>
      <w:r w:rsidRPr="00507EBA">
        <w:rPr>
          <w:i/>
          <w:lang w:val="en-GB"/>
        </w:rPr>
        <w:t xml:space="preserve">P. </w:t>
      </w:r>
      <w:proofErr w:type="spellStart"/>
      <w:r w:rsidRPr="00507EBA">
        <w:rPr>
          <w:i/>
          <w:lang w:val="en-GB"/>
        </w:rPr>
        <w:t>canaliculata</w:t>
      </w:r>
      <w:proofErr w:type="spellEnd"/>
      <w:r w:rsidRPr="00507EBA">
        <w:rPr>
          <w:i/>
          <w:lang w:val="en-GB"/>
        </w:rPr>
        <w:t xml:space="preserve"> </w:t>
      </w:r>
      <w:r w:rsidRPr="00507EBA">
        <w:rPr>
          <w:lang w:val="en-GB"/>
        </w:rPr>
        <w:t>already the higher charge state was considered.</w:t>
      </w:r>
    </w:p>
    <w:p w14:paraId="71F1DA5F" w14:textId="77777777" w:rsidR="0066662D" w:rsidRDefault="0066662D" w:rsidP="00507EBA">
      <w:pPr>
        <w:pStyle w:val="MDPI31text"/>
        <w:rPr>
          <w:lang w:val="en-GB"/>
        </w:rPr>
      </w:pPr>
    </w:p>
    <w:p w14:paraId="03B420C9" w14:textId="0F27A3C3" w:rsidR="0066662D" w:rsidRDefault="00C77F4F" w:rsidP="0066662D">
      <w:pPr>
        <w:pStyle w:val="MDPI31text"/>
        <w:ind w:firstLine="0"/>
        <w:rPr>
          <w:lang w:val="en-GB"/>
        </w:rPr>
      </w:pPr>
      <w:r>
        <w:rPr>
          <w:noProof/>
          <w:snapToGrid/>
          <w:lang w:val="ru-RU" w:eastAsia="ru-RU"/>
        </w:rPr>
        <w:lastRenderedPageBreak/>
        <w:pict w14:anchorId="547B4C6D">
          <v:shape id="Grafik 2" o:spid="_x0000_i1027" type="#_x0000_t75" style="width:441pt;height:290.4pt;visibility:visible;mso-wrap-style:square">
            <v:imagedata r:id="rId9" o:title=""/>
          </v:shape>
        </w:pict>
      </w:r>
    </w:p>
    <w:p w14:paraId="38A95CE3" w14:textId="77777777" w:rsidR="0066662D" w:rsidRDefault="0066662D" w:rsidP="00507EBA">
      <w:pPr>
        <w:pStyle w:val="MDPI31text"/>
        <w:rPr>
          <w:lang w:val="en-GB"/>
        </w:rPr>
      </w:pPr>
    </w:p>
    <w:p w14:paraId="1F4F3DF7" w14:textId="4B82A882" w:rsidR="0066662D" w:rsidRDefault="0066662D" w:rsidP="0066662D">
      <w:pPr>
        <w:pStyle w:val="MDPI51figurecaption"/>
      </w:pPr>
      <w:r w:rsidRPr="00B061A7">
        <w:rPr>
          <w:b/>
        </w:rPr>
        <w:t xml:space="preserve">Figure </w:t>
      </w:r>
      <w:r>
        <w:rPr>
          <w:b/>
        </w:rPr>
        <w:t>S3</w:t>
      </w:r>
      <w:r w:rsidRPr="00B061A7">
        <w:rPr>
          <w:b/>
        </w:rPr>
        <w:t>.</w:t>
      </w:r>
      <w:r w:rsidRPr="00B061A7">
        <w:t xml:space="preserve"> </w:t>
      </w:r>
      <w:r w:rsidRPr="0066662D">
        <w:t>Elution profile of intracellular (left) and cell wall-bound phlorotannins (right) across the samples. Color-coding of the base peak chromatograms for each species was adopted from Fig</w:t>
      </w:r>
      <w:r>
        <w:t>ure</w:t>
      </w:r>
      <w:r w:rsidRPr="0066662D">
        <w:t xml:space="preserve"> 2 in the main manuscript: brown – stipe, dark green – blades, light green – apices, and orange – receptacles. Dashed lines indicate the chromatogram regions that were averaged and separately evaluated; five for the intracellular fraction and one region for the cell wall-bound phlorotannins. The maximal intensity between the two phlorotannin fractions differed by a factor &gt;10 with </w:t>
      </w:r>
      <w:r w:rsidRPr="0066662D">
        <w:rPr>
          <w:i/>
        </w:rPr>
        <w:t xml:space="preserve">F. </w:t>
      </w:r>
      <w:proofErr w:type="spellStart"/>
      <w:r w:rsidRPr="0066662D">
        <w:rPr>
          <w:i/>
        </w:rPr>
        <w:t>vesiculosus</w:t>
      </w:r>
      <w:proofErr w:type="spellEnd"/>
      <w:r w:rsidRPr="0066662D">
        <w:t xml:space="preserve"> featuring the highest maximal intensity across the species. While for the intracellular phlorotannin fraction, the profile considerably differed between the algal species and thallus zones, the chromatograms of the cell wall-bound phlorotannins were rather similar</w:t>
      </w:r>
      <w:r w:rsidRPr="00B061A7">
        <w:t>.</w:t>
      </w:r>
    </w:p>
    <w:p w14:paraId="74D5B92A" w14:textId="15CDA53A" w:rsidR="00507EBA" w:rsidRPr="00507EBA" w:rsidRDefault="00507EBA" w:rsidP="00507EBA">
      <w:pPr>
        <w:pStyle w:val="MDPI31text"/>
        <w:rPr>
          <w:lang w:val="en-GB"/>
        </w:rPr>
      </w:pPr>
      <w:r w:rsidRPr="00507EBA">
        <w:rPr>
          <w:lang w:val="en-GB"/>
        </w:rPr>
        <w:t xml:space="preserve">The target lists were searched against the averaged mass spectra from this region per chromatogram to extract the corresponding monoisotopic intensities. The cumulative abundance of the phlorotannin target </w:t>
      </w:r>
      <w:r w:rsidRPr="00507EBA">
        <w:rPr>
          <w:i/>
          <w:lang w:val="en-GB"/>
        </w:rPr>
        <w:t>m/z</w:t>
      </w:r>
      <w:r w:rsidRPr="00507EBA">
        <w:rPr>
          <w:lang w:val="en-GB"/>
        </w:rPr>
        <w:t xml:space="preserve"> annotated by series number, degree of polymerization and charge, was obtained as the sum of the corresponding intensities in the averaged mass spectra from the five different regions within a </w:t>
      </w:r>
      <w:proofErr w:type="gramStart"/>
      <w:r w:rsidRPr="00507EBA">
        <w:rPr>
          <w:lang w:val="en-GB"/>
        </w:rPr>
        <w:t>particular chromatogram</w:t>
      </w:r>
      <w:proofErr w:type="gramEnd"/>
      <w:r w:rsidRPr="00507EBA">
        <w:rPr>
          <w:lang w:val="en-GB"/>
        </w:rPr>
        <w:t>.</w:t>
      </w:r>
    </w:p>
    <w:p w14:paraId="462D7F43" w14:textId="77777777" w:rsidR="00507EBA" w:rsidRPr="00507EBA" w:rsidRDefault="00507EBA" w:rsidP="00507EBA">
      <w:pPr>
        <w:pStyle w:val="MDPI31text"/>
        <w:rPr>
          <w:lang w:val="en-GB"/>
        </w:rPr>
      </w:pPr>
      <w:r w:rsidRPr="00507EBA">
        <w:rPr>
          <w:lang w:val="en-GB"/>
        </w:rPr>
        <w:t>For quantification, we further considered the isotopic abundance of the species to correct for the higher probability of heavier atoms with increasing DP. To avoid systematic errors from overlapping of mass peaks from different series, we calculated the total abundance from the intensity of the monoisotopic peak considering the following equation from regression of the isotopic abundance as function of the mass m for the C-H-O containing phlorotannin species:</w:t>
      </w:r>
    </w:p>
    <w:p w14:paraId="5A7802AF" w14:textId="77777777" w:rsidR="00507EBA" w:rsidRPr="00507EBA" w:rsidRDefault="00507EBA" w:rsidP="00507EBA">
      <w:pPr>
        <w:pStyle w:val="MDPI31text"/>
        <w:rPr>
          <w:lang w:val="en-GB"/>
        </w:rPr>
      </w:pPr>
      <w:r w:rsidRPr="00507EBA">
        <w:rPr>
          <w:lang w:val="en-GB"/>
        </w:rPr>
        <w:t>Abundance as [%] of the monoisotopic peak = f(m) = 99.8999*e</w:t>
      </w:r>
      <w:r w:rsidRPr="00507EBA">
        <w:rPr>
          <w:vertAlign w:val="superscript"/>
          <w:lang w:val="en-GB"/>
        </w:rPr>
        <w:t>0.000583*m</w:t>
      </w:r>
    </w:p>
    <w:p w14:paraId="490BC924" w14:textId="794069A4" w:rsidR="00507EBA" w:rsidRPr="00507EBA" w:rsidRDefault="00507EBA" w:rsidP="00507EBA">
      <w:pPr>
        <w:pStyle w:val="MDPI31text"/>
        <w:rPr>
          <w:lang w:val="en-GB"/>
        </w:rPr>
      </w:pPr>
      <w:r w:rsidRPr="00507EBA">
        <w:rPr>
          <w:lang w:val="en-GB"/>
        </w:rPr>
        <w:t xml:space="preserve">Because quantification of the </w:t>
      </w:r>
      <w:proofErr w:type="spellStart"/>
      <w:r w:rsidRPr="00507EBA">
        <w:rPr>
          <w:lang w:val="en-GB"/>
        </w:rPr>
        <w:t>fuhalols</w:t>
      </w:r>
      <w:proofErr w:type="spellEnd"/>
      <w:r w:rsidRPr="00507EBA">
        <w:rPr>
          <w:lang w:val="en-GB"/>
        </w:rPr>
        <w:t xml:space="preserve"> was compromised by the isotopic abundance of the hydroxyl </w:t>
      </w:r>
      <w:proofErr w:type="spellStart"/>
      <w:r w:rsidRPr="00507EBA">
        <w:rPr>
          <w:lang w:val="en-GB"/>
        </w:rPr>
        <w:t>eckol</w:t>
      </w:r>
      <w:proofErr w:type="spellEnd"/>
      <w:r w:rsidRPr="00507EBA">
        <w:rPr>
          <w:lang w:val="en-GB"/>
        </w:rPr>
        <w:t>/</w:t>
      </w:r>
      <w:proofErr w:type="spellStart"/>
      <w:r w:rsidRPr="00507EBA">
        <w:rPr>
          <w:lang w:val="en-GB"/>
        </w:rPr>
        <w:t>carmalol</w:t>
      </w:r>
      <w:proofErr w:type="spellEnd"/>
      <w:r w:rsidRPr="00507EBA">
        <w:rPr>
          <w:lang w:val="en-GB"/>
        </w:rPr>
        <w:t xml:space="preserve"> series &gt;M+2 contributing to the abundance of the signals corresponding to </w:t>
      </w:r>
      <w:proofErr w:type="spellStart"/>
      <w:r w:rsidRPr="00507EBA">
        <w:rPr>
          <w:lang w:val="en-GB"/>
        </w:rPr>
        <w:t>fuhalol</w:t>
      </w:r>
      <w:proofErr w:type="spellEnd"/>
      <w:r w:rsidRPr="00507EBA">
        <w:rPr>
          <w:lang w:val="en-GB"/>
        </w:rPr>
        <w:t xml:space="preserve"> peaks, we corrected the signal intensity of all M-H</w:t>
      </w:r>
      <w:r w:rsidRPr="00507EBA">
        <w:rPr>
          <w:vertAlign w:val="superscript"/>
          <w:lang w:val="en-GB"/>
        </w:rPr>
        <w:t>+</w:t>
      </w:r>
      <w:r w:rsidRPr="00507EBA">
        <w:rPr>
          <w:lang w:val="en-GB"/>
        </w:rPr>
        <w:t xml:space="preserve"> of the </w:t>
      </w:r>
      <w:proofErr w:type="spellStart"/>
      <w:r w:rsidRPr="00507EBA">
        <w:rPr>
          <w:lang w:val="en-GB"/>
        </w:rPr>
        <w:t>fuhalol</w:t>
      </w:r>
      <w:proofErr w:type="spellEnd"/>
      <w:r w:rsidRPr="00507EBA">
        <w:rPr>
          <w:lang w:val="en-GB"/>
        </w:rPr>
        <w:t xml:space="preserve"> series by subtracting the contribution of the corresponding M+2 signal before calculating the cumulative abundance. For clarity and summary, Fig</w:t>
      </w:r>
      <w:r w:rsidR="0066662D">
        <w:rPr>
          <w:lang w:val="en-GB"/>
        </w:rPr>
        <w:t>ure</w:t>
      </w:r>
      <w:r w:rsidRPr="00507EBA">
        <w:rPr>
          <w:lang w:val="en-GB"/>
        </w:rPr>
        <w:t xml:space="preserve"> S4 illustrates the process of data mining in a simple scheme.</w:t>
      </w:r>
    </w:p>
    <w:p w14:paraId="6430548D" w14:textId="67AA2CE4" w:rsidR="00507EBA" w:rsidRDefault="00507EBA" w:rsidP="00507EBA">
      <w:pPr>
        <w:pStyle w:val="MDPI31text"/>
        <w:rPr>
          <w:lang w:val="en-GB"/>
        </w:rPr>
      </w:pPr>
      <w:r w:rsidRPr="00507EBA">
        <w:rPr>
          <w:lang w:val="en-GB"/>
        </w:rPr>
        <w:t xml:space="preserve">For cell wall-bound phlorotannins, we detected only the hydroxyl </w:t>
      </w:r>
      <w:proofErr w:type="spellStart"/>
      <w:r w:rsidRPr="00507EBA">
        <w:rPr>
          <w:lang w:val="en-GB"/>
        </w:rPr>
        <w:t>eckol</w:t>
      </w:r>
      <w:proofErr w:type="spellEnd"/>
      <w:r w:rsidRPr="00507EBA">
        <w:rPr>
          <w:lang w:val="en-GB"/>
        </w:rPr>
        <w:t>/</w:t>
      </w:r>
      <w:proofErr w:type="spellStart"/>
      <w:r w:rsidRPr="00507EBA">
        <w:rPr>
          <w:lang w:val="en-GB"/>
        </w:rPr>
        <w:t>carmalol</w:t>
      </w:r>
      <w:proofErr w:type="spellEnd"/>
      <w:r w:rsidRPr="00507EBA">
        <w:rPr>
          <w:lang w:val="en-GB"/>
        </w:rPr>
        <w:t xml:space="preserve"> series, which eluted between Rt 16-24 min so that only one average spectrum was used for evaluation. Compared to their counterparts from soluble phlorotannins, these chromatograms had a very low abundance and the average spectra featured a median abundance of phlorotannin peaks of 423 compared to a </w:t>
      </w:r>
      <w:r w:rsidRPr="00507EBA">
        <w:rPr>
          <w:lang w:val="en-GB"/>
        </w:rPr>
        <w:lastRenderedPageBreak/>
        <w:t xml:space="preserve">median noise of 192. Though the detection of eight representatives (DP 4-13) of the whole series enhanced the robustness for quantification, these values are near the detection limit and exhibited a high variance. When we used normalization to the median intensity of all signals in the spectrum to reduce the influence of the noise, the standard deviation only slightly improved but the main benefit was the better correlation of the normalized signal intensity with the observed signal to noise ratio. However, considering the low overall abundance in comparison with the least difference between the abundance of different phlorotannin series in the intracellular fraction by factor 3, the fact that we did not observe other than the dibenzodioxin series in the cell wall extracts still implies that less abundant series at least </w:t>
      </w:r>
      <w:r w:rsidRPr="00507EBA">
        <w:rPr>
          <w:i/>
          <w:lang w:val="en-GB"/>
        </w:rPr>
        <w:t>could</w:t>
      </w:r>
      <w:r w:rsidRPr="00507EBA">
        <w:rPr>
          <w:lang w:val="en-GB"/>
        </w:rPr>
        <w:t xml:space="preserve"> be present and further experiments need to confirm the real absence of other series. On the other hand, it still suggests that the profile of the cell wall-bound phlorotannins </w:t>
      </w:r>
      <w:proofErr w:type="gramStart"/>
      <w:r w:rsidRPr="00507EBA">
        <w:rPr>
          <w:lang w:val="en-GB"/>
        </w:rPr>
        <w:t>definitely shifts</w:t>
      </w:r>
      <w:proofErr w:type="gramEnd"/>
      <w:r w:rsidRPr="00507EBA">
        <w:rPr>
          <w:lang w:val="en-GB"/>
        </w:rPr>
        <w:t xml:space="preserve"> from the aryl- and ether-linked series towards dibenzodioxins.</w:t>
      </w:r>
    </w:p>
    <w:p w14:paraId="06892071" w14:textId="7330B79C" w:rsidR="0066662D" w:rsidRDefault="0066662D" w:rsidP="00507EBA">
      <w:pPr>
        <w:pStyle w:val="MDPI31text"/>
        <w:rPr>
          <w:lang w:val="en-GB"/>
        </w:rPr>
      </w:pPr>
    </w:p>
    <w:p w14:paraId="2F00BE21" w14:textId="1B452B0A" w:rsidR="0066662D" w:rsidRDefault="00C77F4F" w:rsidP="0066662D">
      <w:pPr>
        <w:pStyle w:val="MDPI31text"/>
        <w:ind w:firstLine="0"/>
        <w:rPr>
          <w:lang w:val="en-GB"/>
        </w:rPr>
      </w:pPr>
      <w:r>
        <w:rPr>
          <w:noProof/>
          <w:snapToGrid/>
          <w:lang w:val="ru-RU" w:eastAsia="ru-RU"/>
        </w:rPr>
        <w:pict w14:anchorId="051EE873">
          <v:shape id="Grafik 8" o:spid="_x0000_i1028" type="#_x0000_t75" style="width:442.8pt;height:127.8pt;visibility:visible;mso-wrap-style:square">
            <v:imagedata r:id="rId10" o:title=""/>
          </v:shape>
        </w:pict>
      </w:r>
    </w:p>
    <w:p w14:paraId="0612D763" w14:textId="7A0C6B13" w:rsidR="0066662D" w:rsidRDefault="0066662D" w:rsidP="0066662D">
      <w:pPr>
        <w:pStyle w:val="MDPI51figurecaption"/>
      </w:pPr>
      <w:r w:rsidRPr="00B061A7">
        <w:rPr>
          <w:b/>
        </w:rPr>
        <w:t xml:space="preserve">Figure </w:t>
      </w:r>
      <w:r>
        <w:rPr>
          <w:b/>
        </w:rPr>
        <w:t>S4</w:t>
      </w:r>
      <w:r w:rsidRPr="00B061A7">
        <w:rPr>
          <w:b/>
        </w:rPr>
        <w:t>.</w:t>
      </w:r>
      <w:r w:rsidRPr="00B061A7">
        <w:t xml:space="preserve"> </w:t>
      </w:r>
      <w:r w:rsidRPr="008C61D4">
        <w:t>Schematic illustration of the data mining workflow</w:t>
      </w:r>
      <w:r w:rsidRPr="00B061A7">
        <w:t>.</w:t>
      </w:r>
    </w:p>
    <w:p w14:paraId="2D288356" w14:textId="37EC9F3B" w:rsidR="00507EBA" w:rsidRPr="00507EBA" w:rsidRDefault="00507EBA" w:rsidP="00507EBA">
      <w:pPr>
        <w:pStyle w:val="MDPI31text"/>
        <w:rPr>
          <w:lang w:val="en-GB"/>
        </w:rPr>
      </w:pPr>
      <w:r w:rsidRPr="00507EBA">
        <w:rPr>
          <w:lang w:val="en-GB"/>
        </w:rPr>
        <w:t xml:space="preserve">Comparisons with blank measurements finally confirmed the accuracy of the extracted signals originating from the cell wall-bound extracts. For quantification of phlorotannin series in figures comparing zones, species and DP in the manuscript, the sum of abundances of the corresponding phlorotannin target </w:t>
      </w:r>
      <w:r w:rsidRPr="00507EBA">
        <w:rPr>
          <w:i/>
          <w:lang w:val="en-GB"/>
        </w:rPr>
        <w:t>m/z</w:t>
      </w:r>
      <w:r w:rsidRPr="00507EBA">
        <w:rPr>
          <w:lang w:val="en-GB"/>
        </w:rPr>
        <w:t xml:space="preserve"> annotated by series number, degree of polymerization and charge, was calculated within a chromatogram (over the corresponding regions) and presented as mean of five replicates. </w:t>
      </w:r>
    </w:p>
    <w:p w14:paraId="0643331E" w14:textId="77777777" w:rsidR="00507EBA" w:rsidRPr="00507EBA" w:rsidRDefault="00507EBA" w:rsidP="00507EBA">
      <w:pPr>
        <w:pStyle w:val="MDPI31text"/>
        <w:rPr>
          <w:lang w:val="en-GB"/>
        </w:rPr>
      </w:pPr>
      <w:r w:rsidRPr="00507EBA">
        <w:rPr>
          <w:lang w:val="en-GB"/>
        </w:rPr>
        <w:t xml:space="preserve">As a last comment, the following issues shall be mentioned as method-intrinsic which cannot be corrected by data treatment without suitable standards: </w:t>
      </w:r>
    </w:p>
    <w:p w14:paraId="5B0CB434" w14:textId="77777777" w:rsidR="00507EBA" w:rsidRPr="00507EBA" w:rsidRDefault="00507EBA" w:rsidP="00507EBA">
      <w:pPr>
        <w:pStyle w:val="MDPI31text"/>
        <w:numPr>
          <w:ilvl w:val="0"/>
          <w:numId w:val="5"/>
        </w:numPr>
        <w:rPr>
          <w:lang w:val="en-GB"/>
        </w:rPr>
      </w:pPr>
      <w:r w:rsidRPr="00507EBA">
        <w:rPr>
          <w:lang w:val="en-GB"/>
        </w:rPr>
        <w:t xml:space="preserve">Later eluting (mainly the higher) </w:t>
      </w:r>
      <w:r w:rsidRPr="00507EBA">
        <w:rPr>
          <w:i/>
          <w:lang w:val="en-GB"/>
        </w:rPr>
        <w:t>m/z</w:t>
      </w:r>
      <w:r w:rsidRPr="00507EBA">
        <w:rPr>
          <w:lang w:val="en-GB"/>
        </w:rPr>
        <w:t xml:space="preserve"> may exhibit a biased, </w:t>
      </w:r>
      <w:r w:rsidRPr="00E401AD">
        <w:rPr>
          <w:iCs/>
          <w:highlight w:val="cyan"/>
          <w:lang w:val="en-GB"/>
        </w:rPr>
        <w:t>higher relative intensity</w:t>
      </w:r>
      <w:r w:rsidRPr="00507EBA">
        <w:rPr>
          <w:lang w:val="en-GB"/>
        </w:rPr>
        <w:t xml:space="preserve"> due to the higher electrospray ionization efficiency at higher organic fraction.</w:t>
      </w:r>
    </w:p>
    <w:p w14:paraId="116A1279" w14:textId="77777777" w:rsidR="00507EBA" w:rsidRPr="00507EBA" w:rsidRDefault="00507EBA" w:rsidP="00507EBA">
      <w:pPr>
        <w:pStyle w:val="MDPI31text"/>
        <w:numPr>
          <w:ilvl w:val="0"/>
          <w:numId w:val="5"/>
        </w:numPr>
        <w:rPr>
          <w:lang w:val="en-GB"/>
        </w:rPr>
      </w:pPr>
      <w:r w:rsidRPr="00507EBA">
        <w:rPr>
          <w:lang w:val="en-GB"/>
        </w:rPr>
        <w:t xml:space="preserve">Relative signal intensity may be further related to the selected target </w:t>
      </w:r>
      <w:r w:rsidRPr="00507EBA">
        <w:rPr>
          <w:i/>
          <w:lang w:val="en-GB"/>
        </w:rPr>
        <w:t>m/z</w:t>
      </w:r>
      <w:r w:rsidRPr="00507EBA">
        <w:rPr>
          <w:lang w:val="en-GB"/>
        </w:rPr>
        <w:t xml:space="preserve"> 1000 during acquisition. In fact, blanks showed enhanced noise intensities around </w:t>
      </w:r>
      <w:r w:rsidRPr="00507EBA">
        <w:rPr>
          <w:i/>
          <w:lang w:val="en-GB"/>
        </w:rPr>
        <w:t>m/z</w:t>
      </w:r>
      <w:r w:rsidRPr="00507EBA">
        <w:rPr>
          <w:lang w:val="en-GB"/>
        </w:rPr>
        <w:t xml:space="preserve"> 900-1100 (DP 8-9 for the singly charged, 17-19 for the doubly charged and 26-29 for the triply charged). However, independent analyses of </w:t>
      </w:r>
      <w:r w:rsidRPr="00507EBA">
        <w:rPr>
          <w:i/>
          <w:lang w:val="en-GB"/>
        </w:rPr>
        <w:t xml:space="preserve">F. </w:t>
      </w:r>
      <w:proofErr w:type="spellStart"/>
      <w:r w:rsidRPr="00507EBA">
        <w:rPr>
          <w:i/>
          <w:lang w:val="en-GB"/>
        </w:rPr>
        <w:t>vesiculosus</w:t>
      </w:r>
      <w:proofErr w:type="spellEnd"/>
      <w:r w:rsidRPr="00507EBA">
        <w:rPr>
          <w:lang w:val="en-GB"/>
        </w:rPr>
        <w:t xml:space="preserve"> samples on a different-type instrument during accurate mass analysis confirmed DP 6-8 to be the most abundant in this species.</w:t>
      </w:r>
    </w:p>
    <w:p w14:paraId="2D536ECB" w14:textId="77777777" w:rsidR="00507EBA" w:rsidRPr="00507EBA" w:rsidRDefault="00507EBA" w:rsidP="00507EBA">
      <w:pPr>
        <w:pStyle w:val="MDPI31text"/>
        <w:numPr>
          <w:ilvl w:val="0"/>
          <w:numId w:val="5"/>
        </w:numPr>
        <w:rPr>
          <w:lang w:val="en-GB"/>
        </w:rPr>
      </w:pPr>
      <w:r w:rsidRPr="00507EBA">
        <w:rPr>
          <w:lang w:val="en-GB"/>
        </w:rPr>
        <w:t xml:space="preserve">High molecular weight species may have a biased </w:t>
      </w:r>
      <w:r w:rsidRPr="00E401AD">
        <w:rPr>
          <w:iCs/>
          <w:highlight w:val="cyan"/>
          <w:lang w:val="en-GB"/>
        </w:rPr>
        <w:t>lower relative intensity</w:t>
      </w:r>
      <w:r w:rsidRPr="00507EBA">
        <w:rPr>
          <w:lang w:val="en-GB"/>
        </w:rPr>
        <w:t xml:space="preserve"> due to poorer desorption during electrospray ionization.</w:t>
      </w:r>
    </w:p>
    <w:p w14:paraId="74CE3C7B" w14:textId="77777777" w:rsidR="00507EBA" w:rsidRPr="00507EBA" w:rsidRDefault="00507EBA" w:rsidP="00507EBA">
      <w:pPr>
        <w:pStyle w:val="MDPI31text"/>
        <w:numPr>
          <w:ilvl w:val="0"/>
          <w:numId w:val="5"/>
        </w:numPr>
        <w:rPr>
          <w:lang w:val="en-GB"/>
        </w:rPr>
      </w:pPr>
      <w:r w:rsidRPr="00507EBA">
        <w:rPr>
          <w:lang w:val="en-GB"/>
        </w:rPr>
        <w:t>Different phlorotannin isomers may feature a different ionization efficiency.</w:t>
      </w:r>
    </w:p>
    <w:p w14:paraId="3CEC0C8F" w14:textId="26F3399D" w:rsidR="00830C50" w:rsidRPr="00C207B2" w:rsidRDefault="00507EBA" w:rsidP="00507EBA">
      <w:pPr>
        <w:pStyle w:val="MDPI31text"/>
      </w:pPr>
      <w:r w:rsidRPr="00507EBA">
        <w:rPr>
          <w:lang w:val="en-GB"/>
        </w:rPr>
        <w:t xml:space="preserve">These issues can </w:t>
      </w:r>
      <w:r w:rsidRPr="00507EBA">
        <w:t xml:space="preserve">be </w:t>
      </w:r>
      <w:r w:rsidRPr="00507EBA">
        <w:rPr>
          <w:lang w:val="en-GB"/>
        </w:rPr>
        <w:t>addressed by calibration with authentic standards, but such standards are not available yet. Consequently, we feel that the availability of calibration standards is of utmost importance to enhance the quality of quantitative assessment in future phlorotannin research employing mass spectrometric techniques. Meanwhile, until suitable standards will become available, a complementary use of gel permeation chromatography with triple detection to validate corresponding LC-MS data in similar future experiments is highly recommended.</w:t>
      </w:r>
    </w:p>
    <w:bookmarkEnd w:id="0"/>
    <w:bookmarkEnd w:id="1"/>
    <w:p w14:paraId="5EF37C1F" w14:textId="77777777" w:rsidR="00830C50" w:rsidRPr="00C207B2" w:rsidRDefault="00830C50" w:rsidP="00830C50">
      <w:pPr>
        <w:pStyle w:val="MDPI21heading1"/>
      </w:pPr>
      <w:r w:rsidRPr="00C207B2">
        <w:t>References</w:t>
      </w:r>
    </w:p>
    <w:p w14:paraId="4635D5A5" w14:textId="43232701" w:rsidR="0066662D" w:rsidRPr="00C77F4F" w:rsidRDefault="0066662D" w:rsidP="00C77F4F">
      <w:pPr>
        <w:pStyle w:val="MDPI71References"/>
        <w:rPr>
          <w:lang w:val="en-GB"/>
        </w:rPr>
      </w:pPr>
      <w:proofErr w:type="spellStart"/>
      <w:r w:rsidRPr="00C77F4F">
        <w:rPr>
          <w:lang w:val="en-GB"/>
        </w:rPr>
        <w:lastRenderedPageBreak/>
        <w:t>Mariadoss</w:t>
      </w:r>
      <w:proofErr w:type="spellEnd"/>
      <w:r w:rsidR="00B34A6E" w:rsidRPr="00C77F4F">
        <w:rPr>
          <w:lang w:val="en-GB"/>
        </w:rPr>
        <w:t>, A.V.A.;</w:t>
      </w:r>
      <w:r w:rsidRPr="00C77F4F">
        <w:rPr>
          <w:lang w:val="en-GB"/>
        </w:rPr>
        <w:t xml:space="preserve"> </w:t>
      </w:r>
      <w:proofErr w:type="spellStart"/>
      <w:r w:rsidRPr="00C77F4F">
        <w:rPr>
          <w:lang w:val="en-GB"/>
        </w:rPr>
        <w:t>Vinyagam</w:t>
      </w:r>
      <w:proofErr w:type="spellEnd"/>
      <w:r w:rsidR="00B34A6E" w:rsidRPr="00C77F4F">
        <w:rPr>
          <w:lang w:val="en-GB"/>
        </w:rPr>
        <w:t>, R.;</w:t>
      </w:r>
      <w:r w:rsidRPr="00C77F4F">
        <w:rPr>
          <w:lang w:val="en-GB"/>
        </w:rPr>
        <w:t xml:space="preserve"> Rajamanickam</w:t>
      </w:r>
      <w:r w:rsidR="00B34A6E" w:rsidRPr="00C77F4F">
        <w:rPr>
          <w:lang w:val="en-GB"/>
        </w:rPr>
        <w:t>, V.;</w:t>
      </w:r>
      <w:r w:rsidRPr="00C77F4F">
        <w:rPr>
          <w:lang w:val="en-GB"/>
        </w:rPr>
        <w:t xml:space="preserve"> Sankaran</w:t>
      </w:r>
      <w:r w:rsidR="00B34A6E" w:rsidRPr="00C77F4F">
        <w:rPr>
          <w:lang w:val="en-GB"/>
        </w:rPr>
        <w:t>, V.;</w:t>
      </w:r>
      <w:r w:rsidRPr="00C77F4F">
        <w:rPr>
          <w:lang w:val="en-GB"/>
        </w:rPr>
        <w:t xml:space="preserve"> Venkatesan</w:t>
      </w:r>
      <w:r w:rsidR="00B34A6E" w:rsidRPr="00C77F4F">
        <w:rPr>
          <w:lang w:val="en-GB"/>
        </w:rPr>
        <w:t>, S.;</w:t>
      </w:r>
      <w:r w:rsidRPr="00C77F4F">
        <w:rPr>
          <w:lang w:val="en-GB"/>
        </w:rPr>
        <w:t xml:space="preserve"> David</w:t>
      </w:r>
      <w:r w:rsidR="00B34A6E" w:rsidRPr="00C77F4F">
        <w:rPr>
          <w:lang w:val="en-GB"/>
        </w:rPr>
        <w:t>, E.</w:t>
      </w:r>
      <w:r w:rsidRPr="00C77F4F">
        <w:rPr>
          <w:lang w:val="en-GB"/>
        </w:rPr>
        <w:t xml:space="preserve"> </w:t>
      </w:r>
      <w:r w:rsidR="00B34A6E" w:rsidRPr="00C77F4F">
        <w:rPr>
          <w:lang w:val="en-GB"/>
        </w:rPr>
        <w:t xml:space="preserve">Pharmacological </w:t>
      </w:r>
      <w:proofErr w:type="gramStart"/>
      <w:r w:rsidR="00B34A6E" w:rsidRPr="00C77F4F">
        <w:rPr>
          <w:lang w:val="en-GB"/>
        </w:rPr>
        <w:t>aspects</w:t>
      </w:r>
      <w:proofErr w:type="gramEnd"/>
      <w:r w:rsidR="00B34A6E" w:rsidRPr="00C77F4F">
        <w:rPr>
          <w:lang w:val="en-GB"/>
        </w:rPr>
        <w:t xml:space="preserve"> and potential use of </w:t>
      </w:r>
      <w:r w:rsidR="00B34A6E" w:rsidRPr="00C77F4F">
        <w:rPr>
          <w:i/>
          <w:iCs/>
          <w:lang w:val="en-GB"/>
        </w:rPr>
        <w:t xml:space="preserve">phloretin: a systemic review. </w:t>
      </w:r>
      <w:r w:rsidRPr="00C77F4F">
        <w:rPr>
          <w:i/>
          <w:iCs/>
          <w:lang w:val="en-GB"/>
        </w:rPr>
        <w:t>Mini-Reviews in Medicinal Chemistry</w:t>
      </w:r>
      <w:r w:rsidRPr="00C77F4F">
        <w:rPr>
          <w:lang w:val="en-GB"/>
        </w:rPr>
        <w:t xml:space="preserve"> </w:t>
      </w:r>
      <w:r w:rsidR="00B34A6E" w:rsidRPr="00C77F4F">
        <w:rPr>
          <w:b/>
          <w:bCs/>
          <w:lang w:val="en-GB"/>
        </w:rPr>
        <w:t>2019</w:t>
      </w:r>
      <w:r w:rsidR="00B34A6E" w:rsidRPr="00C77F4F">
        <w:rPr>
          <w:lang w:val="en-GB"/>
        </w:rPr>
        <w:t xml:space="preserve">, </w:t>
      </w:r>
      <w:r w:rsidRPr="00C77F4F">
        <w:rPr>
          <w:i/>
          <w:iCs/>
          <w:lang w:val="en-GB"/>
        </w:rPr>
        <w:t>19(13)</w:t>
      </w:r>
      <w:r w:rsidRPr="00C77F4F">
        <w:rPr>
          <w:lang w:val="en-GB"/>
        </w:rPr>
        <w:t>, 1060-1067</w:t>
      </w:r>
      <w:r w:rsidR="00F161F4" w:rsidRPr="00C77F4F">
        <w:rPr>
          <w:lang w:val="en-GB"/>
        </w:rPr>
        <w:t>.</w:t>
      </w:r>
      <w:r w:rsidRPr="00C77F4F">
        <w:rPr>
          <w:lang w:val="en-GB"/>
        </w:rPr>
        <w:t xml:space="preserve"> </w:t>
      </w:r>
      <w:r w:rsidR="00B34A6E" w:rsidRPr="00C77F4F">
        <w:rPr>
          <w:lang w:val="en-GB"/>
        </w:rPr>
        <w:t>https://doi.org/</w:t>
      </w:r>
      <w:r w:rsidRPr="00C77F4F">
        <w:rPr>
          <w:lang w:val="en-GB"/>
        </w:rPr>
        <w:t>10.2174/1389557519666190311154425</w:t>
      </w:r>
    </w:p>
    <w:p w14:paraId="1A51E499" w14:textId="63E28934" w:rsidR="0066662D" w:rsidRPr="00C77F4F" w:rsidRDefault="0066662D" w:rsidP="00C77F4F">
      <w:pPr>
        <w:pStyle w:val="MDPI71References"/>
        <w:rPr>
          <w:lang w:val="en-GB"/>
        </w:rPr>
      </w:pPr>
      <w:r w:rsidRPr="00C77F4F">
        <w:rPr>
          <w:lang w:val="en-GB"/>
        </w:rPr>
        <w:t>Louche</w:t>
      </w:r>
      <w:r w:rsidR="00B34A6E" w:rsidRPr="00C77F4F">
        <w:rPr>
          <w:lang w:val="en-GB"/>
        </w:rPr>
        <w:t>, L.M.-M.;</w:t>
      </w:r>
      <w:r w:rsidRPr="00C77F4F">
        <w:rPr>
          <w:lang w:val="en-GB"/>
        </w:rPr>
        <w:t xml:space="preserve"> </w:t>
      </w:r>
      <w:proofErr w:type="spellStart"/>
      <w:r w:rsidRPr="00C77F4F">
        <w:rPr>
          <w:lang w:val="en-GB"/>
        </w:rPr>
        <w:t>Luro</w:t>
      </w:r>
      <w:proofErr w:type="spellEnd"/>
      <w:r w:rsidR="00B34A6E" w:rsidRPr="00C77F4F">
        <w:rPr>
          <w:lang w:val="en-GB"/>
        </w:rPr>
        <w:t>, F.;</w:t>
      </w:r>
      <w:r w:rsidRPr="00C77F4F">
        <w:rPr>
          <w:lang w:val="en-GB"/>
        </w:rPr>
        <w:t xml:space="preserve"> </w:t>
      </w:r>
      <w:proofErr w:type="spellStart"/>
      <w:r w:rsidRPr="00C77F4F">
        <w:rPr>
          <w:lang w:val="en-GB"/>
        </w:rPr>
        <w:t>Gaydou</w:t>
      </w:r>
      <w:proofErr w:type="spellEnd"/>
      <w:r w:rsidR="00B34A6E" w:rsidRPr="00C77F4F">
        <w:rPr>
          <w:lang w:val="en-GB"/>
        </w:rPr>
        <w:t>, E.M.;</w:t>
      </w:r>
      <w:r w:rsidRPr="00C77F4F">
        <w:rPr>
          <w:lang w:val="en-GB"/>
        </w:rPr>
        <w:t xml:space="preserve"> Lesage</w:t>
      </w:r>
      <w:r w:rsidR="00B34A6E" w:rsidRPr="00C77F4F">
        <w:rPr>
          <w:lang w:val="en-GB"/>
        </w:rPr>
        <w:t>, J.-C.</w:t>
      </w:r>
      <w:r w:rsidRPr="00C77F4F">
        <w:rPr>
          <w:lang w:val="en-GB"/>
        </w:rPr>
        <w:t xml:space="preserve"> </w:t>
      </w:r>
      <w:proofErr w:type="spellStart"/>
      <w:r w:rsidR="00B34A6E" w:rsidRPr="00C77F4F">
        <w:rPr>
          <w:lang w:val="en-GB"/>
        </w:rPr>
        <w:t>Phlorin</w:t>
      </w:r>
      <w:proofErr w:type="spellEnd"/>
      <w:r w:rsidR="00B34A6E" w:rsidRPr="00C77F4F">
        <w:rPr>
          <w:lang w:val="en-GB"/>
        </w:rPr>
        <w:t xml:space="preserve"> screening in various citrus species and varieties</w:t>
      </w:r>
      <w:r w:rsidRPr="00C77F4F">
        <w:rPr>
          <w:lang w:val="en-GB"/>
        </w:rPr>
        <w:t xml:space="preserve">. </w:t>
      </w:r>
      <w:r w:rsidRPr="00C77F4F">
        <w:rPr>
          <w:i/>
          <w:iCs/>
          <w:lang w:val="en-GB"/>
        </w:rPr>
        <w:t>J</w:t>
      </w:r>
      <w:r w:rsidR="00B34A6E" w:rsidRPr="00C77F4F">
        <w:rPr>
          <w:i/>
          <w:iCs/>
          <w:lang w:val="en-GB"/>
        </w:rPr>
        <w:t xml:space="preserve">. </w:t>
      </w:r>
      <w:r w:rsidRPr="00C77F4F">
        <w:rPr>
          <w:i/>
          <w:iCs/>
          <w:lang w:val="en-GB"/>
        </w:rPr>
        <w:t>Agric</w:t>
      </w:r>
      <w:r w:rsidR="00B34A6E" w:rsidRPr="00C77F4F">
        <w:rPr>
          <w:i/>
          <w:iCs/>
          <w:lang w:val="en-GB"/>
        </w:rPr>
        <w:t>.</w:t>
      </w:r>
      <w:r w:rsidRPr="00C77F4F">
        <w:rPr>
          <w:i/>
          <w:iCs/>
          <w:lang w:val="en-GB"/>
        </w:rPr>
        <w:t xml:space="preserve"> Food Chem</w:t>
      </w:r>
      <w:r w:rsidR="00B34A6E" w:rsidRPr="00C77F4F">
        <w:rPr>
          <w:i/>
          <w:iCs/>
          <w:lang w:val="en-GB"/>
        </w:rPr>
        <w:t>.</w:t>
      </w:r>
      <w:r w:rsidRPr="00C77F4F">
        <w:rPr>
          <w:lang w:val="en-GB"/>
        </w:rPr>
        <w:t xml:space="preserve"> </w:t>
      </w:r>
      <w:r w:rsidR="00B34A6E" w:rsidRPr="00C77F4F">
        <w:rPr>
          <w:b/>
          <w:bCs/>
          <w:lang w:val="en-GB"/>
        </w:rPr>
        <w:t>2000</w:t>
      </w:r>
      <w:r w:rsidR="00B34A6E" w:rsidRPr="00C77F4F">
        <w:rPr>
          <w:lang w:val="en-GB"/>
        </w:rPr>
        <w:t xml:space="preserve">, </w:t>
      </w:r>
      <w:r w:rsidRPr="00C77F4F">
        <w:rPr>
          <w:i/>
          <w:iCs/>
          <w:lang w:val="en-GB"/>
        </w:rPr>
        <w:t>48(10)</w:t>
      </w:r>
      <w:r w:rsidRPr="00C77F4F">
        <w:rPr>
          <w:lang w:val="en-GB"/>
        </w:rPr>
        <w:t>, 4728–4733</w:t>
      </w:r>
      <w:r w:rsidR="00F161F4" w:rsidRPr="00C77F4F">
        <w:rPr>
          <w:lang w:val="en-GB"/>
        </w:rPr>
        <w:t>.</w:t>
      </w:r>
      <w:r w:rsidRPr="00C77F4F">
        <w:rPr>
          <w:lang w:val="en-GB"/>
        </w:rPr>
        <w:t xml:space="preserve"> </w:t>
      </w:r>
      <w:r w:rsidR="00B34A6E" w:rsidRPr="00C77F4F">
        <w:rPr>
          <w:lang w:val="en-GB"/>
        </w:rPr>
        <w:t>https://doi.org/</w:t>
      </w:r>
      <w:r w:rsidRPr="00C77F4F">
        <w:rPr>
          <w:lang w:val="en-GB"/>
        </w:rPr>
        <w:t>10.1021/jf991362x</w:t>
      </w:r>
    </w:p>
    <w:p w14:paraId="52BB8A43" w14:textId="1A42A6DE" w:rsidR="0066662D" w:rsidRPr="00C77F4F" w:rsidRDefault="0066662D" w:rsidP="00C77F4F">
      <w:pPr>
        <w:pStyle w:val="MDPI71References"/>
        <w:rPr>
          <w:lang w:val="en-GB"/>
        </w:rPr>
      </w:pPr>
      <w:r w:rsidRPr="00C77F4F">
        <w:rPr>
          <w:lang w:val="en-GB"/>
        </w:rPr>
        <w:t>Song</w:t>
      </w:r>
      <w:r w:rsidR="00F161F4" w:rsidRPr="00C77F4F">
        <w:rPr>
          <w:lang w:val="en-GB"/>
        </w:rPr>
        <w:t>, C.;</w:t>
      </w:r>
      <w:r w:rsidRPr="00C77F4F">
        <w:rPr>
          <w:lang w:val="en-GB"/>
        </w:rPr>
        <w:t xml:space="preserve"> Ring</w:t>
      </w:r>
      <w:r w:rsidR="00F161F4" w:rsidRPr="00C77F4F">
        <w:rPr>
          <w:lang w:val="en-GB"/>
        </w:rPr>
        <w:t>, L.;</w:t>
      </w:r>
      <w:r w:rsidRPr="00C77F4F">
        <w:rPr>
          <w:lang w:val="en-GB"/>
        </w:rPr>
        <w:t xml:space="preserve"> Hoffmann</w:t>
      </w:r>
      <w:r w:rsidR="00F161F4" w:rsidRPr="00C77F4F">
        <w:rPr>
          <w:lang w:val="en-GB"/>
        </w:rPr>
        <w:t>, T.;</w:t>
      </w:r>
      <w:r w:rsidRPr="00C77F4F">
        <w:rPr>
          <w:lang w:val="en-GB"/>
        </w:rPr>
        <w:t xml:space="preserve"> Huang</w:t>
      </w:r>
      <w:r w:rsidR="00F161F4" w:rsidRPr="00C77F4F">
        <w:rPr>
          <w:lang w:val="en-GB"/>
        </w:rPr>
        <w:t>, F.-C.;</w:t>
      </w:r>
      <w:r w:rsidRPr="00C77F4F">
        <w:rPr>
          <w:lang w:val="en-GB"/>
        </w:rPr>
        <w:t xml:space="preserve"> </w:t>
      </w:r>
      <w:proofErr w:type="spellStart"/>
      <w:r w:rsidRPr="00C77F4F">
        <w:rPr>
          <w:lang w:val="en-GB"/>
        </w:rPr>
        <w:t>Slovin</w:t>
      </w:r>
      <w:proofErr w:type="spellEnd"/>
      <w:r w:rsidR="00F161F4" w:rsidRPr="00C77F4F">
        <w:rPr>
          <w:lang w:val="en-GB"/>
        </w:rPr>
        <w:t>, J.;</w:t>
      </w:r>
      <w:r w:rsidRPr="00C77F4F">
        <w:rPr>
          <w:lang w:val="en-GB"/>
        </w:rPr>
        <w:t xml:space="preserve"> Schwab</w:t>
      </w:r>
      <w:r w:rsidR="00F161F4" w:rsidRPr="00C77F4F">
        <w:rPr>
          <w:lang w:val="en-GB"/>
        </w:rPr>
        <w:t>, W.</w:t>
      </w:r>
      <w:r w:rsidRPr="00C77F4F">
        <w:rPr>
          <w:lang w:val="en-GB"/>
        </w:rPr>
        <w:t xml:space="preserve"> </w:t>
      </w:r>
      <w:r w:rsidR="00F161F4" w:rsidRPr="00C77F4F">
        <w:rPr>
          <w:lang w:val="en-GB"/>
        </w:rPr>
        <w:t>Acylphloroglucinol biosynthesis in strawberry fruit</w:t>
      </w:r>
      <w:r w:rsidRPr="00C77F4F">
        <w:rPr>
          <w:lang w:val="en-GB"/>
        </w:rPr>
        <w:t xml:space="preserve">. </w:t>
      </w:r>
      <w:r w:rsidRPr="00C77F4F">
        <w:rPr>
          <w:i/>
          <w:iCs/>
          <w:lang w:val="en-GB"/>
        </w:rPr>
        <w:t>Plant Physiol</w:t>
      </w:r>
      <w:r w:rsidR="00F161F4" w:rsidRPr="00C77F4F">
        <w:rPr>
          <w:i/>
          <w:iCs/>
          <w:lang w:val="en-GB"/>
        </w:rPr>
        <w:t>.</w:t>
      </w:r>
      <w:r w:rsidRPr="00C77F4F">
        <w:rPr>
          <w:lang w:val="en-GB"/>
        </w:rPr>
        <w:t xml:space="preserve"> </w:t>
      </w:r>
      <w:r w:rsidRPr="00C77F4F">
        <w:rPr>
          <w:b/>
          <w:bCs/>
          <w:lang w:val="en-GB"/>
        </w:rPr>
        <w:t>2015</w:t>
      </w:r>
      <w:r w:rsidRPr="00C77F4F">
        <w:rPr>
          <w:lang w:val="en-GB"/>
        </w:rPr>
        <w:t xml:space="preserve">, </w:t>
      </w:r>
      <w:r w:rsidR="00F161F4" w:rsidRPr="00C77F4F">
        <w:rPr>
          <w:i/>
          <w:iCs/>
          <w:lang w:val="en-GB"/>
        </w:rPr>
        <w:t>169</w:t>
      </w:r>
      <w:r w:rsidR="00F161F4" w:rsidRPr="00C77F4F">
        <w:rPr>
          <w:lang w:val="en-GB"/>
        </w:rPr>
        <w:t xml:space="preserve">, </w:t>
      </w:r>
      <w:r w:rsidRPr="00C77F4F">
        <w:rPr>
          <w:lang w:val="en-GB"/>
        </w:rPr>
        <w:t>1656–1670</w:t>
      </w:r>
      <w:r w:rsidR="00F161F4" w:rsidRPr="00C77F4F">
        <w:rPr>
          <w:lang w:val="en-GB"/>
        </w:rPr>
        <w:t>.</w:t>
      </w:r>
      <w:r w:rsidRPr="00C77F4F">
        <w:rPr>
          <w:lang w:val="en-GB"/>
        </w:rPr>
        <w:t xml:space="preserve"> </w:t>
      </w:r>
      <w:r w:rsidR="00B34A6E" w:rsidRPr="00C77F4F">
        <w:rPr>
          <w:lang w:val="en-GB"/>
        </w:rPr>
        <w:t>https://doi.org/</w:t>
      </w:r>
      <w:r w:rsidRPr="00C77F4F">
        <w:rPr>
          <w:lang w:val="en-GB"/>
        </w:rPr>
        <w:t>10.1104/pp.15.00794</w:t>
      </w:r>
    </w:p>
    <w:p w14:paraId="7FB40D85" w14:textId="3BDDDCA5" w:rsidR="0066662D" w:rsidRPr="00C77F4F" w:rsidRDefault="0066662D" w:rsidP="00C77F4F">
      <w:pPr>
        <w:pStyle w:val="MDPI71References"/>
        <w:rPr>
          <w:lang w:val="en-GB"/>
        </w:rPr>
      </w:pPr>
      <w:r w:rsidRPr="00C77F4F">
        <w:rPr>
          <w:lang w:val="en-GB"/>
        </w:rPr>
        <w:t>Na</w:t>
      </w:r>
      <w:r w:rsidR="00F161F4" w:rsidRPr="00C77F4F">
        <w:rPr>
          <w:lang w:val="en-GB"/>
        </w:rPr>
        <w:t>, M.K.;</w:t>
      </w:r>
      <w:r w:rsidRPr="00C77F4F">
        <w:rPr>
          <w:lang w:val="en-GB"/>
        </w:rPr>
        <w:t xml:space="preserve"> Jang</w:t>
      </w:r>
      <w:r w:rsidR="00F161F4" w:rsidRPr="00C77F4F">
        <w:rPr>
          <w:lang w:val="en-GB"/>
        </w:rPr>
        <w:t>, J.P.;</w:t>
      </w:r>
      <w:r w:rsidRPr="00C77F4F">
        <w:rPr>
          <w:lang w:val="en-GB"/>
        </w:rPr>
        <w:t xml:space="preserve"> Min</w:t>
      </w:r>
      <w:r w:rsidR="00F161F4" w:rsidRPr="00C77F4F">
        <w:rPr>
          <w:lang w:val="en-GB"/>
        </w:rPr>
        <w:t>. B.S.;</w:t>
      </w:r>
      <w:r w:rsidRPr="00C77F4F">
        <w:rPr>
          <w:lang w:val="en-GB"/>
        </w:rPr>
        <w:t xml:space="preserve"> Lee</w:t>
      </w:r>
      <w:r w:rsidR="00F161F4" w:rsidRPr="00C77F4F">
        <w:rPr>
          <w:lang w:val="en-GB"/>
        </w:rPr>
        <w:t>, S.J.;</w:t>
      </w:r>
      <w:r w:rsidRPr="00C77F4F">
        <w:rPr>
          <w:lang w:val="en-GB"/>
        </w:rPr>
        <w:t xml:space="preserve"> Lee</w:t>
      </w:r>
      <w:r w:rsidR="00F161F4" w:rsidRPr="00C77F4F">
        <w:rPr>
          <w:lang w:val="en-GB"/>
        </w:rPr>
        <w:t>, M.S.;</w:t>
      </w:r>
      <w:r w:rsidRPr="00C77F4F">
        <w:rPr>
          <w:lang w:val="en-GB"/>
        </w:rPr>
        <w:t xml:space="preserve"> Kim</w:t>
      </w:r>
      <w:r w:rsidR="00F161F4" w:rsidRPr="00C77F4F">
        <w:rPr>
          <w:lang w:val="en-GB"/>
        </w:rPr>
        <w:t>, B.Y.;</w:t>
      </w:r>
      <w:r w:rsidRPr="00C77F4F">
        <w:rPr>
          <w:lang w:val="en-GB"/>
        </w:rPr>
        <w:t xml:space="preserve"> </w:t>
      </w:r>
      <w:proofErr w:type="spellStart"/>
      <w:r w:rsidRPr="00C77F4F">
        <w:rPr>
          <w:lang w:val="en-GB"/>
        </w:rPr>
        <w:t>Oha</w:t>
      </w:r>
      <w:proofErr w:type="spellEnd"/>
      <w:r w:rsidR="00F161F4" w:rsidRPr="00C77F4F">
        <w:rPr>
          <w:lang w:val="en-GB"/>
        </w:rPr>
        <w:t>, W.K.;</w:t>
      </w:r>
      <w:r w:rsidRPr="00C77F4F">
        <w:rPr>
          <w:lang w:val="en-GB"/>
        </w:rPr>
        <w:t xml:space="preserve"> </w:t>
      </w:r>
      <w:proofErr w:type="spellStart"/>
      <w:r w:rsidRPr="00C77F4F">
        <w:rPr>
          <w:lang w:val="en-GB"/>
        </w:rPr>
        <w:t>Ahn</w:t>
      </w:r>
      <w:proofErr w:type="spellEnd"/>
      <w:r w:rsidR="00F161F4" w:rsidRPr="00C77F4F">
        <w:rPr>
          <w:lang w:val="en-GB"/>
        </w:rPr>
        <w:t>, J.S.</w:t>
      </w:r>
      <w:r w:rsidRPr="00C77F4F">
        <w:rPr>
          <w:lang w:val="en-GB"/>
        </w:rPr>
        <w:t xml:space="preserve"> Fatty acid synthase inhibitory activity of acylphloroglucinols isolated from </w:t>
      </w:r>
      <w:r w:rsidRPr="00C77F4F">
        <w:rPr>
          <w:i/>
          <w:lang w:val="en-GB"/>
        </w:rPr>
        <w:t xml:space="preserve">Dryopteris </w:t>
      </w:r>
      <w:proofErr w:type="spellStart"/>
      <w:r w:rsidRPr="00C77F4F">
        <w:rPr>
          <w:i/>
          <w:lang w:val="en-GB"/>
        </w:rPr>
        <w:t>crassirhizoma</w:t>
      </w:r>
      <w:proofErr w:type="spellEnd"/>
      <w:r w:rsidRPr="00C77F4F">
        <w:rPr>
          <w:lang w:val="en-GB"/>
        </w:rPr>
        <w:t xml:space="preserve">. </w:t>
      </w:r>
      <w:proofErr w:type="spellStart"/>
      <w:r w:rsidRPr="00C77F4F">
        <w:rPr>
          <w:i/>
          <w:iCs/>
          <w:lang w:val="en-GB"/>
        </w:rPr>
        <w:t>Bioorg</w:t>
      </w:r>
      <w:proofErr w:type="spellEnd"/>
      <w:r w:rsidR="00F161F4" w:rsidRPr="00C77F4F">
        <w:rPr>
          <w:i/>
          <w:iCs/>
          <w:lang w:val="en-GB"/>
        </w:rPr>
        <w:t xml:space="preserve">. </w:t>
      </w:r>
      <w:r w:rsidRPr="00C77F4F">
        <w:rPr>
          <w:i/>
          <w:iCs/>
          <w:lang w:val="en-GB"/>
        </w:rPr>
        <w:t>Med</w:t>
      </w:r>
      <w:r w:rsidR="00F161F4" w:rsidRPr="00C77F4F">
        <w:rPr>
          <w:i/>
          <w:iCs/>
          <w:lang w:val="en-GB"/>
        </w:rPr>
        <w:t xml:space="preserve">. </w:t>
      </w:r>
      <w:r w:rsidRPr="00C77F4F">
        <w:rPr>
          <w:i/>
          <w:iCs/>
          <w:lang w:val="en-GB"/>
        </w:rPr>
        <w:t>Chem</w:t>
      </w:r>
      <w:r w:rsidR="00F161F4" w:rsidRPr="00C77F4F">
        <w:rPr>
          <w:i/>
          <w:iCs/>
          <w:lang w:val="en-GB"/>
        </w:rPr>
        <w:t xml:space="preserve">. </w:t>
      </w:r>
      <w:r w:rsidRPr="00C77F4F">
        <w:rPr>
          <w:i/>
          <w:iCs/>
          <w:lang w:val="en-GB"/>
        </w:rPr>
        <w:t>Lett</w:t>
      </w:r>
      <w:r w:rsidR="00F161F4" w:rsidRPr="00C77F4F">
        <w:rPr>
          <w:i/>
          <w:iCs/>
          <w:lang w:val="en-GB"/>
        </w:rPr>
        <w:t>.</w:t>
      </w:r>
      <w:r w:rsidRPr="00C77F4F">
        <w:rPr>
          <w:lang w:val="en-GB"/>
        </w:rPr>
        <w:t xml:space="preserve"> </w:t>
      </w:r>
      <w:r w:rsidR="00F161F4" w:rsidRPr="00C77F4F">
        <w:rPr>
          <w:b/>
          <w:bCs/>
          <w:lang w:val="en-GB"/>
        </w:rPr>
        <w:t>2006</w:t>
      </w:r>
      <w:r w:rsidR="00F161F4" w:rsidRPr="00C77F4F">
        <w:rPr>
          <w:lang w:val="en-GB"/>
        </w:rPr>
        <w:t xml:space="preserve">, </w:t>
      </w:r>
      <w:r w:rsidRPr="00C77F4F">
        <w:rPr>
          <w:i/>
          <w:iCs/>
          <w:lang w:val="en-GB"/>
        </w:rPr>
        <w:t>16</w:t>
      </w:r>
      <w:r w:rsidRPr="00C77F4F">
        <w:rPr>
          <w:lang w:val="en-GB"/>
        </w:rPr>
        <w:t>, 4738–4742</w:t>
      </w:r>
      <w:r w:rsidR="00F161F4" w:rsidRPr="00C77F4F">
        <w:rPr>
          <w:lang w:val="en-GB"/>
        </w:rPr>
        <w:t>.</w:t>
      </w:r>
      <w:r w:rsidRPr="00C77F4F">
        <w:rPr>
          <w:lang w:val="en-GB"/>
        </w:rPr>
        <w:t xml:space="preserve"> </w:t>
      </w:r>
      <w:r w:rsidR="00B34A6E" w:rsidRPr="00C77F4F">
        <w:rPr>
          <w:lang w:val="en-GB"/>
        </w:rPr>
        <w:t>https://doi.org/</w:t>
      </w:r>
      <w:r w:rsidRPr="00C77F4F">
        <w:rPr>
          <w:lang w:val="en-GB"/>
        </w:rPr>
        <w:t xml:space="preserve">10.1016/j.bmcl.2006.07.018 </w:t>
      </w:r>
    </w:p>
    <w:p w14:paraId="3C03E647" w14:textId="0EBB6132" w:rsidR="0066662D" w:rsidRPr="00C77F4F" w:rsidRDefault="0066662D" w:rsidP="00C77F4F">
      <w:pPr>
        <w:pStyle w:val="MDPI71References"/>
        <w:rPr>
          <w:lang w:val="en-GB"/>
        </w:rPr>
      </w:pPr>
      <w:r w:rsidRPr="00C77F4F">
        <w:rPr>
          <w:lang w:val="en-GB"/>
        </w:rPr>
        <w:t>Abburi</w:t>
      </w:r>
      <w:r w:rsidR="00F161F4" w:rsidRPr="00C77F4F">
        <w:rPr>
          <w:lang w:val="en-GB"/>
        </w:rPr>
        <w:t>, R.;</w:t>
      </w:r>
      <w:r w:rsidRPr="00C77F4F">
        <w:rPr>
          <w:lang w:val="en-GB"/>
        </w:rPr>
        <w:t xml:space="preserve"> </w:t>
      </w:r>
      <w:proofErr w:type="spellStart"/>
      <w:r w:rsidRPr="00C77F4F">
        <w:rPr>
          <w:lang w:val="en-GB"/>
        </w:rPr>
        <w:t>Kalkhof</w:t>
      </w:r>
      <w:proofErr w:type="spellEnd"/>
      <w:r w:rsidR="00F161F4" w:rsidRPr="00C77F4F">
        <w:rPr>
          <w:lang w:val="en-GB"/>
        </w:rPr>
        <w:t>, S.;</w:t>
      </w:r>
      <w:r w:rsidRPr="00C77F4F">
        <w:rPr>
          <w:lang w:val="en-GB"/>
        </w:rPr>
        <w:t xml:space="preserve"> </w:t>
      </w:r>
      <w:proofErr w:type="spellStart"/>
      <w:r w:rsidRPr="00C77F4F">
        <w:rPr>
          <w:lang w:val="en-GB"/>
        </w:rPr>
        <w:t>Oehme</w:t>
      </w:r>
      <w:proofErr w:type="spellEnd"/>
      <w:r w:rsidR="00F161F4" w:rsidRPr="00C77F4F">
        <w:rPr>
          <w:lang w:val="en-GB"/>
        </w:rPr>
        <w:t>, R.;</w:t>
      </w:r>
      <w:r w:rsidRPr="00C77F4F">
        <w:rPr>
          <w:lang w:val="en-GB"/>
        </w:rPr>
        <w:t xml:space="preserve"> </w:t>
      </w:r>
      <w:proofErr w:type="spellStart"/>
      <w:r w:rsidRPr="00C77F4F">
        <w:rPr>
          <w:lang w:val="en-GB"/>
        </w:rPr>
        <w:t>Kiontke</w:t>
      </w:r>
      <w:proofErr w:type="spellEnd"/>
      <w:r w:rsidR="00F161F4" w:rsidRPr="00C77F4F">
        <w:rPr>
          <w:lang w:val="en-GB"/>
        </w:rPr>
        <w:t>, A.;</w:t>
      </w:r>
      <w:r w:rsidRPr="00C77F4F">
        <w:rPr>
          <w:lang w:val="en-GB"/>
        </w:rPr>
        <w:t xml:space="preserve"> </w:t>
      </w:r>
      <w:proofErr w:type="spellStart"/>
      <w:r w:rsidRPr="00C77F4F">
        <w:rPr>
          <w:lang w:val="en-GB"/>
        </w:rPr>
        <w:t>Birkemeyer</w:t>
      </w:r>
      <w:proofErr w:type="spellEnd"/>
      <w:r w:rsidR="00F161F4" w:rsidRPr="00C77F4F">
        <w:rPr>
          <w:lang w:val="en-GB"/>
        </w:rPr>
        <w:t>, C.</w:t>
      </w:r>
      <w:r w:rsidRPr="00C77F4F">
        <w:rPr>
          <w:lang w:val="en-GB"/>
        </w:rPr>
        <w:t xml:space="preserve"> Artifacts in amine analysis from anodic oxidation of organic solvents upon electrospray ionization for mass spectrometry. </w:t>
      </w:r>
      <w:r w:rsidRPr="00C77F4F">
        <w:rPr>
          <w:i/>
          <w:iCs/>
          <w:lang w:val="en-GB"/>
        </w:rPr>
        <w:t>Eur</w:t>
      </w:r>
      <w:r w:rsidR="00F161F4" w:rsidRPr="00C77F4F">
        <w:rPr>
          <w:i/>
          <w:iCs/>
          <w:lang w:val="en-GB"/>
        </w:rPr>
        <w:t>.</w:t>
      </w:r>
      <w:r w:rsidRPr="00C77F4F">
        <w:rPr>
          <w:i/>
          <w:iCs/>
          <w:lang w:val="en-GB"/>
        </w:rPr>
        <w:t xml:space="preserve"> J</w:t>
      </w:r>
      <w:r w:rsidR="00F161F4" w:rsidRPr="00C77F4F">
        <w:rPr>
          <w:i/>
          <w:iCs/>
          <w:lang w:val="en-GB"/>
        </w:rPr>
        <w:t xml:space="preserve">. </w:t>
      </w:r>
      <w:r w:rsidRPr="00C77F4F">
        <w:rPr>
          <w:i/>
          <w:iCs/>
          <w:lang w:val="en-GB"/>
        </w:rPr>
        <w:t>Mass Spec</w:t>
      </w:r>
      <w:r w:rsidR="00F161F4" w:rsidRPr="00C77F4F">
        <w:rPr>
          <w:i/>
          <w:iCs/>
          <w:lang w:val="en-GB"/>
        </w:rPr>
        <w:t>.</w:t>
      </w:r>
      <w:r w:rsidRPr="00C77F4F">
        <w:rPr>
          <w:lang w:val="en-GB"/>
        </w:rPr>
        <w:t xml:space="preserve"> </w:t>
      </w:r>
      <w:r w:rsidR="00F161F4" w:rsidRPr="00C77F4F">
        <w:rPr>
          <w:b/>
          <w:bCs/>
          <w:lang w:val="en-GB"/>
        </w:rPr>
        <w:t>2012</w:t>
      </w:r>
      <w:r w:rsidR="00F161F4" w:rsidRPr="00C77F4F">
        <w:rPr>
          <w:lang w:val="en-GB"/>
        </w:rPr>
        <w:t xml:space="preserve">, </w:t>
      </w:r>
      <w:r w:rsidRPr="00C77F4F">
        <w:rPr>
          <w:i/>
          <w:iCs/>
          <w:lang w:val="en-GB"/>
        </w:rPr>
        <w:t>18(3)</w:t>
      </w:r>
      <w:r w:rsidRPr="00C77F4F">
        <w:rPr>
          <w:lang w:val="en-GB"/>
        </w:rPr>
        <w:t>, 301</w:t>
      </w:r>
      <w:r w:rsidR="00F161F4" w:rsidRPr="00C77F4F">
        <w:rPr>
          <w:lang w:val="en-GB"/>
        </w:rPr>
        <w:t>–</w:t>
      </w:r>
      <w:r w:rsidRPr="00C77F4F">
        <w:rPr>
          <w:lang w:val="en-GB"/>
        </w:rPr>
        <w:t>213</w:t>
      </w:r>
      <w:r w:rsidR="00F161F4" w:rsidRPr="00C77F4F">
        <w:rPr>
          <w:lang w:val="en-GB"/>
        </w:rPr>
        <w:t>.</w:t>
      </w:r>
      <w:r w:rsidRPr="00C77F4F">
        <w:rPr>
          <w:lang w:val="en-GB"/>
        </w:rPr>
        <w:t xml:space="preserve"> </w:t>
      </w:r>
      <w:r w:rsidR="00B34A6E" w:rsidRPr="00C77F4F">
        <w:rPr>
          <w:lang w:val="en-GB"/>
        </w:rPr>
        <w:t>https://doi.org/</w:t>
      </w:r>
      <w:r w:rsidRPr="00C77F4F">
        <w:rPr>
          <w:lang w:val="en-GB"/>
        </w:rPr>
        <w:t>10.1255/ejms</w:t>
      </w:r>
    </w:p>
    <w:p w14:paraId="18C7EDCF" w14:textId="77777777" w:rsidR="0066662D" w:rsidRDefault="0066662D" w:rsidP="00830C50">
      <w:pPr>
        <w:pStyle w:val="MDPI71References"/>
        <w:numPr>
          <w:ilvl w:val="0"/>
          <w:numId w:val="0"/>
        </w:numPr>
        <w:ind w:left="425"/>
      </w:pPr>
    </w:p>
    <w:tbl>
      <w:tblPr>
        <w:tblW w:w="0" w:type="auto"/>
        <w:jc w:val="center"/>
        <w:tblLook w:val="04A0" w:firstRow="1" w:lastRow="0" w:firstColumn="1" w:lastColumn="0" w:noHBand="0" w:noVBand="1"/>
      </w:tblPr>
      <w:tblGrid>
        <w:gridCol w:w="1703"/>
        <w:gridCol w:w="7149"/>
      </w:tblGrid>
      <w:tr w:rsidR="001C07B8" w:rsidRPr="0016273A" w14:paraId="1A726625" w14:textId="77777777" w:rsidTr="0096652D">
        <w:trPr>
          <w:jc w:val="center"/>
        </w:trPr>
        <w:tc>
          <w:tcPr>
            <w:tcW w:w="0" w:type="auto"/>
            <w:shd w:val="clear" w:color="auto" w:fill="auto"/>
            <w:vAlign w:val="center"/>
          </w:tcPr>
          <w:p w14:paraId="77A2E34B" w14:textId="77777777" w:rsidR="001C07B8" w:rsidRPr="0016273A" w:rsidRDefault="00C77F4F" w:rsidP="002C52D9">
            <w:pPr>
              <w:pStyle w:val="MDPI71References"/>
              <w:numPr>
                <w:ilvl w:val="0"/>
                <w:numId w:val="0"/>
              </w:numPr>
              <w:ind w:left="-85"/>
              <w:rPr>
                <w:rFonts w:eastAsia="SimSun"/>
                <w:bCs/>
              </w:rPr>
            </w:pPr>
            <w:r>
              <w:rPr>
                <w:rFonts w:eastAsia="SimSun"/>
                <w:bCs/>
              </w:rPr>
              <w:pict w14:anchorId="17374E9C">
                <v:shape id="_x0000_i1029" type="#_x0000_t75" style="width:78.6pt;height:28.2pt">
                  <v:imagedata r:id="rId11" o:title="copyRight"/>
                </v:shape>
              </w:pict>
            </w:r>
          </w:p>
        </w:tc>
        <w:tc>
          <w:tcPr>
            <w:tcW w:w="7149" w:type="dxa"/>
            <w:shd w:val="clear" w:color="auto" w:fill="auto"/>
            <w:vAlign w:val="center"/>
          </w:tcPr>
          <w:p w14:paraId="3EF6BB0B" w14:textId="77777777" w:rsidR="001C07B8" w:rsidRPr="0016273A" w:rsidRDefault="00E662C3" w:rsidP="00341E53">
            <w:pPr>
              <w:pStyle w:val="MDPI71References"/>
              <w:numPr>
                <w:ilvl w:val="0"/>
                <w:numId w:val="0"/>
              </w:numPr>
              <w:ind w:left="-85"/>
              <w:rPr>
                <w:rFonts w:eastAsia="SimSun"/>
                <w:bCs/>
              </w:rPr>
            </w:pPr>
            <w:r>
              <w:rPr>
                <w:rFonts w:eastAsia="SimSun"/>
                <w:bCs/>
              </w:rPr>
              <w:t>© 20</w:t>
            </w:r>
            <w:r w:rsidR="00341E53">
              <w:rPr>
                <w:rFonts w:eastAsia="SimSun"/>
                <w:bCs/>
              </w:rPr>
              <w:t>20</w:t>
            </w:r>
            <w:r w:rsidR="001C07B8" w:rsidRPr="0016273A">
              <w:rPr>
                <w:rFonts w:eastAsia="SimSun"/>
                <w:bCs/>
              </w:rPr>
              <w:t xml:space="preserve"> by the authors. Submitted for possible open access publication under the terms and conditions of the Creative Commons Attribution (CC BY) license (http://creativecommons.org/licenses/by/4.0/).</w:t>
            </w:r>
          </w:p>
        </w:tc>
      </w:tr>
    </w:tbl>
    <w:p w14:paraId="31C5686B" w14:textId="77777777" w:rsidR="00830C50" w:rsidRPr="00F57846" w:rsidRDefault="00830C50" w:rsidP="001C07B8">
      <w:pPr>
        <w:pStyle w:val="MDPI71References"/>
        <w:numPr>
          <w:ilvl w:val="0"/>
          <w:numId w:val="0"/>
        </w:numPr>
        <w:spacing w:after="240"/>
        <w:rPr>
          <w:rFonts w:eastAsia="SimSun"/>
        </w:rPr>
      </w:pPr>
    </w:p>
    <w:sectPr w:rsidR="00830C50" w:rsidRPr="00F57846" w:rsidSect="00C77F4F">
      <w:headerReference w:type="even" r:id="rId12"/>
      <w:headerReference w:type="default" r:id="rId13"/>
      <w:footerReference w:type="default" r:id="rId14"/>
      <w:headerReference w:type="first" r:id="rId15"/>
      <w:footerReference w:type="first" r:id="rId16"/>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0869B" w14:textId="77777777" w:rsidR="00BA1C06" w:rsidRDefault="00BA1C06">
      <w:pPr>
        <w:spacing w:line="240" w:lineRule="auto"/>
      </w:pPr>
      <w:r>
        <w:separator/>
      </w:r>
    </w:p>
  </w:endnote>
  <w:endnote w:type="continuationSeparator" w:id="0">
    <w:p w14:paraId="754F7BEC" w14:textId="77777777" w:rsidR="00BA1C06" w:rsidRDefault="00BA1C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549BA" w14:textId="77777777" w:rsidR="00243C06" w:rsidRPr="001D6C97" w:rsidRDefault="00243C06" w:rsidP="00243C0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28D89" w14:textId="77777777" w:rsidR="00243C06" w:rsidRPr="00C77F4F" w:rsidRDefault="00243C06" w:rsidP="00341E53">
    <w:pPr>
      <w:tabs>
        <w:tab w:val="right" w:pos="8844"/>
      </w:tabs>
      <w:adjustRightInd w:val="0"/>
      <w:snapToGrid w:val="0"/>
      <w:spacing w:before="120" w:line="240" w:lineRule="auto"/>
      <w:rPr>
        <w:rFonts w:ascii="Palatino Linotype" w:hAnsi="Palatino Linotype"/>
        <w:sz w:val="16"/>
        <w:szCs w:val="16"/>
      </w:rPr>
    </w:pPr>
    <w:r w:rsidRPr="00D613C7">
      <w:rPr>
        <w:rFonts w:ascii="Palatino Linotype" w:hAnsi="Palatino Linotype"/>
        <w:i/>
        <w:sz w:val="16"/>
        <w:szCs w:val="16"/>
      </w:rPr>
      <w:t>Metabolites</w:t>
    </w:r>
    <w:r>
      <w:rPr>
        <w:rFonts w:ascii="Palatino Linotype" w:hAnsi="Palatino Linotype"/>
        <w:i/>
        <w:sz w:val="16"/>
        <w:szCs w:val="16"/>
      </w:rPr>
      <w:t xml:space="preserve"> </w:t>
    </w:r>
    <w:r w:rsidR="001C07B8" w:rsidRPr="001C07B8">
      <w:rPr>
        <w:rFonts w:ascii="Palatino Linotype" w:hAnsi="Palatino Linotype"/>
        <w:b/>
        <w:bCs/>
        <w:iCs/>
        <w:sz w:val="16"/>
        <w:szCs w:val="16"/>
      </w:rPr>
      <w:t>20</w:t>
    </w:r>
    <w:r w:rsidR="00341E53">
      <w:rPr>
        <w:rFonts w:ascii="Palatino Linotype" w:hAnsi="Palatino Linotype"/>
        <w:b/>
        <w:bCs/>
        <w:iCs/>
        <w:sz w:val="16"/>
        <w:szCs w:val="16"/>
      </w:rPr>
      <w:t>20</w:t>
    </w:r>
    <w:r w:rsidR="001C07B8" w:rsidRPr="001C07B8">
      <w:rPr>
        <w:rFonts w:ascii="Palatino Linotype" w:hAnsi="Palatino Linotype"/>
        <w:bCs/>
        <w:iCs/>
        <w:sz w:val="16"/>
        <w:szCs w:val="16"/>
      </w:rPr>
      <w:t xml:space="preserve">, </w:t>
    </w:r>
    <w:r w:rsidR="00341E53">
      <w:rPr>
        <w:rFonts w:ascii="Palatino Linotype" w:hAnsi="Palatino Linotype"/>
        <w:bCs/>
        <w:i/>
        <w:iCs/>
        <w:sz w:val="16"/>
        <w:szCs w:val="16"/>
      </w:rPr>
      <w:t>10</w:t>
    </w:r>
    <w:r w:rsidR="001C07B8" w:rsidRPr="001C07B8">
      <w:rPr>
        <w:rFonts w:ascii="Palatino Linotype" w:hAnsi="Palatino Linotype"/>
        <w:bCs/>
        <w:iCs/>
        <w:sz w:val="16"/>
        <w:szCs w:val="16"/>
      </w:rPr>
      <w:t xml:space="preserve">, </w:t>
    </w:r>
    <w:r w:rsidR="00A40990">
      <w:rPr>
        <w:rFonts w:ascii="Palatino Linotype" w:hAnsi="Palatino Linotype"/>
        <w:bCs/>
        <w:iCs/>
        <w:sz w:val="16"/>
        <w:szCs w:val="16"/>
      </w:rPr>
      <w:t xml:space="preserve">x; </w:t>
    </w:r>
    <w:proofErr w:type="spellStart"/>
    <w:r w:rsidR="00A40990">
      <w:rPr>
        <w:rFonts w:ascii="Palatino Linotype" w:hAnsi="Palatino Linotype"/>
        <w:bCs/>
        <w:iCs/>
        <w:sz w:val="16"/>
        <w:szCs w:val="16"/>
      </w:rPr>
      <w:t>doi</w:t>
    </w:r>
    <w:proofErr w:type="spellEnd"/>
    <w:r w:rsidR="00A40990">
      <w:rPr>
        <w:rFonts w:ascii="Palatino Linotype" w:hAnsi="Palatino Linotype"/>
        <w:bCs/>
        <w:iCs/>
        <w:sz w:val="16"/>
        <w:szCs w:val="16"/>
      </w:rPr>
      <w:t>: FOR PEER REVIEW</w:t>
    </w:r>
    <w:r w:rsidR="006A3D75" w:rsidRPr="00C77F4F">
      <w:rPr>
        <w:rFonts w:ascii="Palatino Linotype" w:hAnsi="Palatino Linotype"/>
        <w:sz w:val="16"/>
        <w:szCs w:val="16"/>
      </w:rPr>
      <w:tab/>
    </w:r>
    <w:r w:rsidRPr="00C77F4F">
      <w:rPr>
        <w:rFonts w:ascii="Palatino Linotype" w:hAnsi="Palatino Linotype"/>
        <w:sz w:val="16"/>
        <w:szCs w:val="16"/>
      </w:rPr>
      <w:t>www.mdpi.com/journal/</w:t>
    </w:r>
    <w:r w:rsidRPr="00D613C7">
      <w:rPr>
        <w:rFonts w:ascii="Palatino Linotype" w:hAnsi="Palatino Linotype"/>
        <w:sz w:val="16"/>
        <w:szCs w:val="16"/>
      </w:rPr>
      <w:t>metabolites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2E225" w14:textId="77777777" w:rsidR="00BA1C06" w:rsidRDefault="00BA1C06">
      <w:pPr>
        <w:spacing w:line="240" w:lineRule="auto"/>
      </w:pPr>
      <w:r>
        <w:separator/>
      </w:r>
    </w:p>
  </w:footnote>
  <w:footnote w:type="continuationSeparator" w:id="0">
    <w:p w14:paraId="22A0B585" w14:textId="77777777" w:rsidR="00BA1C06" w:rsidRDefault="00BA1C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C8E2F" w14:textId="77777777" w:rsidR="00243C06" w:rsidRDefault="00243C06" w:rsidP="00243C0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6D13F" w14:textId="77777777" w:rsidR="00243C06" w:rsidRPr="00B55AF3" w:rsidRDefault="00243C06" w:rsidP="00341E53">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Metabolites </w:t>
    </w:r>
    <w:r w:rsidR="001C07B8" w:rsidRPr="001C07B8">
      <w:rPr>
        <w:rFonts w:ascii="Palatino Linotype" w:hAnsi="Palatino Linotype"/>
        <w:b/>
        <w:sz w:val="16"/>
      </w:rPr>
      <w:t>20</w:t>
    </w:r>
    <w:r w:rsidR="00341E53">
      <w:rPr>
        <w:rFonts w:ascii="Palatino Linotype" w:hAnsi="Palatino Linotype"/>
        <w:b/>
        <w:sz w:val="16"/>
      </w:rPr>
      <w:t>20</w:t>
    </w:r>
    <w:r w:rsidR="001C07B8" w:rsidRPr="001C07B8">
      <w:rPr>
        <w:rFonts w:ascii="Palatino Linotype" w:hAnsi="Palatino Linotype"/>
        <w:sz w:val="16"/>
      </w:rPr>
      <w:t xml:space="preserve">, </w:t>
    </w:r>
    <w:r w:rsidR="00341E53">
      <w:rPr>
        <w:rFonts w:ascii="Palatino Linotype" w:hAnsi="Palatino Linotype"/>
        <w:i/>
        <w:sz w:val="16"/>
      </w:rPr>
      <w:t>10</w:t>
    </w:r>
    <w:r w:rsidR="00A40990">
      <w:rPr>
        <w:rFonts w:ascii="Palatino Linotype" w:hAnsi="Palatino Linotype"/>
        <w:sz w:val="16"/>
      </w:rPr>
      <w:t>, x FOR PEER REVIEW</w:t>
    </w:r>
    <w:r w:rsidR="006A3D75">
      <w:rPr>
        <w:rFonts w:ascii="Palatino Linotype" w:hAnsi="Palatino Linotype"/>
        <w:sz w:val="16"/>
      </w:rPr>
      <w:tab/>
    </w:r>
    <w:r w:rsidR="00A40990">
      <w:rPr>
        <w:rFonts w:ascii="Palatino Linotype" w:hAnsi="Palatino Linotype"/>
        <w:sz w:val="16"/>
      </w:rPr>
      <w:fldChar w:fldCharType="begin"/>
    </w:r>
    <w:r w:rsidR="00A40990">
      <w:rPr>
        <w:rFonts w:ascii="Palatino Linotype" w:hAnsi="Palatino Linotype"/>
        <w:sz w:val="16"/>
      </w:rPr>
      <w:instrText xml:space="preserve"> PAGE   \* MERGEFORMAT </w:instrText>
    </w:r>
    <w:r w:rsidR="00A40990">
      <w:rPr>
        <w:rFonts w:ascii="Palatino Linotype" w:hAnsi="Palatino Linotype"/>
        <w:sz w:val="16"/>
      </w:rPr>
      <w:fldChar w:fldCharType="separate"/>
    </w:r>
    <w:r w:rsidR="00C534E4">
      <w:rPr>
        <w:rFonts w:ascii="Palatino Linotype" w:hAnsi="Palatino Linotype"/>
        <w:noProof/>
        <w:sz w:val="16"/>
      </w:rPr>
      <w:t>3</w:t>
    </w:r>
    <w:r w:rsidR="00A40990">
      <w:rPr>
        <w:rFonts w:ascii="Palatino Linotype" w:hAnsi="Palatino Linotype"/>
        <w:sz w:val="16"/>
      </w:rPr>
      <w:fldChar w:fldCharType="end"/>
    </w:r>
    <w:r w:rsidR="00A40990">
      <w:rPr>
        <w:rFonts w:ascii="Palatino Linotype" w:hAnsi="Palatino Linotype"/>
        <w:sz w:val="16"/>
      </w:rPr>
      <w:t xml:space="preserve"> of </w:t>
    </w:r>
    <w:r w:rsidR="00A40990">
      <w:rPr>
        <w:rFonts w:ascii="Palatino Linotype" w:hAnsi="Palatino Linotype"/>
        <w:sz w:val="16"/>
      </w:rPr>
      <w:fldChar w:fldCharType="begin"/>
    </w:r>
    <w:r w:rsidR="00A40990">
      <w:rPr>
        <w:rFonts w:ascii="Palatino Linotype" w:hAnsi="Palatino Linotype"/>
        <w:sz w:val="16"/>
      </w:rPr>
      <w:instrText xml:space="preserve"> NUMPAGES   \* MERGEFORMAT </w:instrText>
    </w:r>
    <w:r w:rsidR="00A40990">
      <w:rPr>
        <w:rFonts w:ascii="Palatino Linotype" w:hAnsi="Palatino Linotype"/>
        <w:sz w:val="16"/>
      </w:rPr>
      <w:fldChar w:fldCharType="separate"/>
    </w:r>
    <w:r w:rsidR="00C534E4">
      <w:rPr>
        <w:rFonts w:ascii="Palatino Linotype" w:hAnsi="Palatino Linotype"/>
        <w:noProof/>
        <w:sz w:val="16"/>
      </w:rPr>
      <w:t>4</w:t>
    </w:r>
    <w:r w:rsidR="00A40990">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C3400" w14:textId="77777777" w:rsidR="00243C06" w:rsidRDefault="00BA1C06" w:rsidP="00243C06">
    <w:pPr>
      <w:pStyle w:val="MDPIheaderjournallogo"/>
    </w:pPr>
    <w:r>
      <w:rPr>
        <w:i w:val="0"/>
        <w:noProof/>
        <w:szCs w:val="16"/>
        <w:lang w:eastAsia="zh-CN"/>
      </w:rPr>
      <w:pict w14:anchorId="77E6167E">
        <v:shapetype id="_x0000_t202" coordsize="21600,21600" o:spt="202" path="m,l,21600r21600,l21600,xe">
          <v:stroke joinstyle="miter"/>
          <v:path gradientshapeok="t" o:connecttype="rect"/>
        </v:shapetype>
        <v:shape id="Text Box 2" o:spid="_x0000_s2049" type="#_x0000_t202" style="position:absolute;margin-left:474.8pt;margin-top:51pt;width:45.05pt;height:55.85pt;z-index:-1;visibility:visible;mso-wrap-style:none;mso-wrap-distance-top:3.6pt;mso-wrap-distance-bottom:3.6pt;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" stroked="f">
          <v:textbox inset="0,0,0,0">
            <w:txbxContent>
              <w:p w14:paraId="1CCA6EE1" w14:textId="77777777" w:rsidR="00243C06" w:rsidRDefault="00BA1C06" w:rsidP="00243C06">
                <w:pPr>
                  <w:pStyle w:val="MDPIheaderjournallogo"/>
                  <w:jc w:val="center"/>
                  <w:textboxTightWrap w:val="allLines"/>
                  <w:rPr>
                    <w:i w:val="0"/>
                    <w:szCs w:val="16"/>
                  </w:rPr>
                </w:pPr>
                <w:r>
                  <w:rPr>
                    <w:i w:val="0"/>
                    <w:noProof/>
                    <w:szCs w:val="16"/>
                    <w:lang w:eastAsia="zh-CN"/>
                  </w:rPr>
                  <w:pict w14:anchorId="129557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pt;height:28.2pt;visibility:visible">
                      <v:imagedata r:id="rId1" o:title="logo-mdpi"/>
                    </v:shape>
                  </w:pict>
                </w:r>
              </w:p>
            </w:txbxContent>
          </v:textbox>
          <w10:wrap anchorx="margin" anchory="page"/>
        </v:shape>
      </w:pict>
    </w:r>
    <w:r>
      <w:rPr>
        <w:noProof/>
        <w:lang w:eastAsia="zh-CN"/>
      </w:rPr>
      <w:pict w14:anchorId="50F9DE1A">
        <v:shape id="Picture 3" o:spid="_x0000_i1032" type="#_x0000_t75" style="width:130.8pt;height:34.2pt;visibility:visible">
          <v:imagedata r:id="rId2" o:title="metabolites_log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EF171F"/>
    <w:multiLevelType w:val="hybridMultilevel"/>
    <w:tmpl w:val="76FE4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C778CD"/>
    <w:multiLevelType w:val="hybridMultilevel"/>
    <w:tmpl w:val="8BF82F7E"/>
    <w:lvl w:ilvl="0" w:tplc="66FE83D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0A245F"/>
    <w:multiLevelType w:val="hybridMultilevel"/>
    <w:tmpl w:val="E2F682EA"/>
    <w:lvl w:ilvl="0" w:tplc="DE2A86EE">
      <w:start w:val="68"/>
      <w:numFmt w:val="decimal"/>
      <w:pStyle w:val="MDPI71References"/>
      <w:lvlText w:val="%1."/>
      <w:lvlJc w:val="left"/>
      <w:pPr>
        <w:ind w:left="420" w:hanging="4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73526111"/>
    <w:multiLevelType w:val="hybridMultilevel"/>
    <w:tmpl w:val="09D46E88"/>
    <w:lvl w:ilvl="0" w:tplc="D8364C5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7D369A"/>
    <w:multiLevelType w:val="hybridMultilevel"/>
    <w:tmpl w:val="B434A826"/>
    <w:lvl w:ilvl="0" w:tplc="74B81EDE">
      <w:start w:val="1"/>
      <w:numFmt w:val="decimal"/>
      <w:lvlText w:val="%1."/>
      <w:lvlJc w:val="left"/>
      <w:pPr>
        <w:ind w:left="816" w:hanging="360"/>
      </w:pPr>
      <w:rPr>
        <w:rFonts w:hint="default"/>
      </w:rPr>
    </w:lvl>
    <w:lvl w:ilvl="1" w:tplc="08090019" w:tentative="1">
      <w:start w:val="1"/>
      <w:numFmt w:val="lowerLetter"/>
      <w:lvlText w:val="%2."/>
      <w:lvlJc w:val="left"/>
      <w:pPr>
        <w:ind w:left="1536" w:hanging="360"/>
      </w:pPr>
    </w:lvl>
    <w:lvl w:ilvl="2" w:tplc="0809001B" w:tentative="1">
      <w:start w:val="1"/>
      <w:numFmt w:val="lowerRoman"/>
      <w:lvlText w:val="%3."/>
      <w:lvlJc w:val="right"/>
      <w:pPr>
        <w:ind w:left="2256" w:hanging="180"/>
      </w:pPr>
    </w:lvl>
    <w:lvl w:ilvl="3" w:tplc="0809000F" w:tentative="1">
      <w:start w:val="1"/>
      <w:numFmt w:val="decimal"/>
      <w:lvlText w:val="%4."/>
      <w:lvlJc w:val="left"/>
      <w:pPr>
        <w:ind w:left="2976" w:hanging="360"/>
      </w:pPr>
    </w:lvl>
    <w:lvl w:ilvl="4" w:tplc="08090019" w:tentative="1">
      <w:start w:val="1"/>
      <w:numFmt w:val="lowerLetter"/>
      <w:lvlText w:val="%5."/>
      <w:lvlJc w:val="left"/>
      <w:pPr>
        <w:ind w:left="3696" w:hanging="360"/>
      </w:pPr>
    </w:lvl>
    <w:lvl w:ilvl="5" w:tplc="0809001B" w:tentative="1">
      <w:start w:val="1"/>
      <w:numFmt w:val="lowerRoman"/>
      <w:lvlText w:val="%6."/>
      <w:lvlJc w:val="right"/>
      <w:pPr>
        <w:ind w:left="4416" w:hanging="180"/>
      </w:pPr>
    </w:lvl>
    <w:lvl w:ilvl="6" w:tplc="0809000F" w:tentative="1">
      <w:start w:val="1"/>
      <w:numFmt w:val="decimal"/>
      <w:lvlText w:val="%7."/>
      <w:lvlJc w:val="left"/>
      <w:pPr>
        <w:ind w:left="5136" w:hanging="360"/>
      </w:pPr>
    </w:lvl>
    <w:lvl w:ilvl="7" w:tplc="08090019" w:tentative="1">
      <w:start w:val="1"/>
      <w:numFmt w:val="lowerLetter"/>
      <w:lvlText w:val="%8."/>
      <w:lvlJc w:val="left"/>
      <w:pPr>
        <w:ind w:left="5856" w:hanging="360"/>
      </w:pPr>
    </w:lvl>
    <w:lvl w:ilvl="8" w:tplc="0809001B" w:tentative="1">
      <w:start w:val="1"/>
      <w:numFmt w:val="lowerRoman"/>
      <w:lvlText w:val="%9."/>
      <w:lvlJc w:val="right"/>
      <w:pPr>
        <w:ind w:left="6576" w:hanging="180"/>
      </w:pPr>
    </w:lvl>
  </w:abstractNum>
  <w:num w:numId="1">
    <w:abstractNumId w:val="3"/>
  </w:num>
  <w:num w:numId="2">
    <w:abstractNumId w:val="4"/>
  </w:num>
  <w:num w:numId="3">
    <w:abstractNumId w:val="2"/>
  </w:num>
  <w:num w:numId="4">
    <w:abstractNumId w:val="6"/>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bordersDoNotSurroundHeader/>
  <w:bordersDoNotSurroundFooter/>
  <w:proofState w:spelling="clean" w:grammar="clean"/>
  <w:attachedTemplate r:id="rId1"/>
  <w:doNotTrackMove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3C06"/>
    <w:rsid w:val="00044AC1"/>
    <w:rsid w:val="00057F69"/>
    <w:rsid w:val="00072DC7"/>
    <w:rsid w:val="00100CF9"/>
    <w:rsid w:val="001502AB"/>
    <w:rsid w:val="0016273A"/>
    <w:rsid w:val="001C07B8"/>
    <w:rsid w:val="001E2AEB"/>
    <w:rsid w:val="00243C06"/>
    <w:rsid w:val="00262C5A"/>
    <w:rsid w:val="00274C52"/>
    <w:rsid w:val="002C52D9"/>
    <w:rsid w:val="003065DB"/>
    <w:rsid w:val="00322201"/>
    <w:rsid w:val="00326141"/>
    <w:rsid w:val="00331F97"/>
    <w:rsid w:val="00333198"/>
    <w:rsid w:val="00341E53"/>
    <w:rsid w:val="0037350A"/>
    <w:rsid w:val="003954F1"/>
    <w:rsid w:val="00401D30"/>
    <w:rsid w:val="00410F70"/>
    <w:rsid w:val="004571D3"/>
    <w:rsid w:val="00481B84"/>
    <w:rsid w:val="0048348C"/>
    <w:rsid w:val="004F6ED4"/>
    <w:rsid w:val="00507EBA"/>
    <w:rsid w:val="00512EB6"/>
    <w:rsid w:val="005236ED"/>
    <w:rsid w:val="0052580F"/>
    <w:rsid w:val="005452C2"/>
    <w:rsid w:val="0059793A"/>
    <w:rsid w:val="005F52E1"/>
    <w:rsid w:val="00612C4F"/>
    <w:rsid w:val="0066662D"/>
    <w:rsid w:val="00692393"/>
    <w:rsid w:val="006A3D75"/>
    <w:rsid w:val="006C6129"/>
    <w:rsid w:val="006C755D"/>
    <w:rsid w:val="006F3ABC"/>
    <w:rsid w:val="006F50E9"/>
    <w:rsid w:val="008218D2"/>
    <w:rsid w:val="00830C50"/>
    <w:rsid w:val="00860F8F"/>
    <w:rsid w:val="008715E6"/>
    <w:rsid w:val="008A1889"/>
    <w:rsid w:val="008D7DB7"/>
    <w:rsid w:val="00901031"/>
    <w:rsid w:val="00952AE0"/>
    <w:rsid w:val="0096652D"/>
    <w:rsid w:val="009A3C06"/>
    <w:rsid w:val="009F70E6"/>
    <w:rsid w:val="00A40990"/>
    <w:rsid w:val="00A8602D"/>
    <w:rsid w:val="00AB2FEC"/>
    <w:rsid w:val="00AD6B44"/>
    <w:rsid w:val="00AE4FF4"/>
    <w:rsid w:val="00AF521F"/>
    <w:rsid w:val="00AF59E4"/>
    <w:rsid w:val="00B06874"/>
    <w:rsid w:val="00B111C7"/>
    <w:rsid w:val="00B34A6E"/>
    <w:rsid w:val="00B459C8"/>
    <w:rsid w:val="00B7782D"/>
    <w:rsid w:val="00B87AB3"/>
    <w:rsid w:val="00B93E85"/>
    <w:rsid w:val="00BA1C06"/>
    <w:rsid w:val="00BE1342"/>
    <w:rsid w:val="00C261DB"/>
    <w:rsid w:val="00C534E4"/>
    <w:rsid w:val="00C77F4F"/>
    <w:rsid w:val="00C84460"/>
    <w:rsid w:val="00CB400E"/>
    <w:rsid w:val="00CC0AFD"/>
    <w:rsid w:val="00D12857"/>
    <w:rsid w:val="00D729C6"/>
    <w:rsid w:val="00D92DC0"/>
    <w:rsid w:val="00DF6A53"/>
    <w:rsid w:val="00E202AD"/>
    <w:rsid w:val="00E21443"/>
    <w:rsid w:val="00E35FF8"/>
    <w:rsid w:val="00E401AD"/>
    <w:rsid w:val="00E662C3"/>
    <w:rsid w:val="00F0790C"/>
    <w:rsid w:val="00F161F4"/>
    <w:rsid w:val="00F26C0E"/>
    <w:rsid w:val="00F7388F"/>
    <w:rsid w:val="00F86335"/>
    <w:rsid w:val="00F9150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DCC99D"/>
  <w15:chartTrackingRefBased/>
  <w15:docId w15:val="{6385EC96-BAB9-477F-B62B-F2462DED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C50"/>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830C50"/>
    <w:pPr>
      <w:spacing w:before="240" w:line="240" w:lineRule="auto"/>
      <w:ind w:firstLine="0"/>
      <w:jc w:val="left"/>
    </w:pPr>
    <w:rPr>
      <w:i/>
    </w:rPr>
  </w:style>
  <w:style w:type="paragraph" w:customStyle="1" w:styleId="MDPI12title">
    <w:name w:val="MDPI_1.2_title"/>
    <w:next w:val="MDPI13authornames"/>
    <w:qFormat/>
    <w:rsid w:val="00830C50"/>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830C50"/>
    <w:pPr>
      <w:spacing w:after="120"/>
      <w:ind w:firstLine="0"/>
      <w:jc w:val="left"/>
    </w:pPr>
    <w:rPr>
      <w:b/>
      <w:snapToGrid/>
    </w:rPr>
  </w:style>
  <w:style w:type="paragraph" w:customStyle="1" w:styleId="MDPI14history">
    <w:name w:val="MDPI_1.4_history"/>
    <w:basedOn w:val="MDPI62Acknowledgments"/>
    <w:next w:val="Normal"/>
    <w:qFormat/>
    <w:rsid w:val="00830C50"/>
    <w:pPr>
      <w:ind w:left="113"/>
      <w:jc w:val="left"/>
    </w:pPr>
    <w:rPr>
      <w:snapToGrid/>
    </w:rPr>
  </w:style>
  <w:style w:type="paragraph" w:customStyle="1" w:styleId="MDPI16affiliation">
    <w:name w:val="MDPI_1.6_affiliation"/>
    <w:basedOn w:val="MDPI62Acknowledgments"/>
    <w:qFormat/>
    <w:rsid w:val="00830C50"/>
    <w:pPr>
      <w:spacing w:before="0"/>
      <w:ind w:left="311" w:hanging="198"/>
      <w:jc w:val="left"/>
    </w:pPr>
    <w:rPr>
      <w:snapToGrid/>
      <w:szCs w:val="18"/>
    </w:rPr>
  </w:style>
  <w:style w:type="paragraph" w:customStyle="1" w:styleId="MDPI17abstract">
    <w:name w:val="MDPI_1.7_abstract"/>
    <w:basedOn w:val="MDPI31text"/>
    <w:next w:val="MDPI18keywords"/>
    <w:qFormat/>
    <w:rsid w:val="00830C50"/>
    <w:pPr>
      <w:spacing w:before="240"/>
      <w:ind w:left="113" w:firstLine="0"/>
    </w:pPr>
    <w:rPr>
      <w:snapToGrid/>
    </w:rPr>
  </w:style>
  <w:style w:type="paragraph" w:customStyle="1" w:styleId="MDPI18keywords">
    <w:name w:val="MDPI_1.8_keywords"/>
    <w:basedOn w:val="MDPI31text"/>
    <w:next w:val="Normal"/>
    <w:qFormat/>
    <w:rsid w:val="00830C50"/>
    <w:pPr>
      <w:spacing w:before="240"/>
      <w:ind w:left="113" w:firstLine="0"/>
    </w:pPr>
  </w:style>
  <w:style w:type="paragraph" w:customStyle="1" w:styleId="MDPI19line">
    <w:name w:val="MDPI_1.9_line"/>
    <w:basedOn w:val="MDPI31text"/>
    <w:qFormat/>
    <w:rsid w:val="00830C50"/>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830C50"/>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830C5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30C50"/>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830C50"/>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830C5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830C50"/>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830C50"/>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830C50"/>
    <w:pPr>
      <w:ind w:firstLine="0"/>
    </w:pPr>
  </w:style>
  <w:style w:type="paragraph" w:customStyle="1" w:styleId="MDPI33textspaceafter">
    <w:name w:val="MDPI_3.3_text_space_after"/>
    <w:basedOn w:val="MDPI31text"/>
    <w:qFormat/>
    <w:rsid w:val="00830C50"/>
    <w:pPr>
      <w:spacing w:after="240"/>
    </w:pPr>
  </w:style>
  <w:style w:type="paragraph" w:customStyle="1" w:styleId="MDPI34textspacebefore">
    <w:name w:val="MDPI_3.4_text_space_before"/>
    <w:basedOn w:val="MDPI31text"/>
    <w:qFormat/>
    <w:rsid w:val="00830C50"/>
    <w:pPr>
      <w:spacing w:before="240"/>
    </w:pPr>
  </w:style>
  <w:style w:type="paragraph" w:customStyle="1" w:styleId="MDPI35textbeforelist">
    <w:name w:val="MDPI_3.5_text_before_list"/>
    <w:basedOn w:val="MDPI31text"/>
    <w:qFormat/>
    <w:rsid w:val="00830C50"/>
    <w:pPr>
      <w:spacing w:after="120"/>
    </w:pPr>
  </w:style>
  <w:style w:type="paragraph" w:customStyle="1" w:styleId="MDPI36textafterlist">
    <w:name w:val="MDPI_3.6_text_after_list"/>
    <w:basedOn w:val="MDPI31text"/>
    <w:qFormat/>
    <w:rsid w:val="00830C50"/>
    <w:pPr>
      <w:spacing w:before="120"/>
    </w:pPr>
  </w:style>
  <w:style w:type="paragraph" w:customStyle="1" w:styleId="MDPI37itemize">
    <w:name w:val="MDPI_3.7_itemize"/>
    <w:basedOn w:val="MDPI31text"/>
    <w:qFormat/>
    <w:rsid w:val="00830C50"/>
    <w:pPr>
      <w:numPr>
        <w:numId w:val="1"/>
      </w:numPr>
      <w:ind w:left="425" w:hanging="425"/>
    </w:pPr>
  </w:style>
  <w:style w:type="paragraph" w:customStyle="1" w:styleId="MDPI38bullet">
    <w:name w:val="MDPI_3.8_bullet"/>
    <w:basedOn w:val="MDPI31text"/>
    <w:qFormat/>
    <w:rsid w:val="00830C50"/>
    <w:pPr>
      <w:numPr>
        <w:numId w:val="2"/>
      </w:numPr>
      <w:ind w:left="425" w:hanging="425"/>
    </w:pPr>
  </w:style>
  <w:style w:type="paragraph" w:customStyle="1" w:styleId="MDPI39equation">
    <w:name w:val="MDPI_3.9_equation"/>
    <w:basedOn w:val="MDPI31text"/>
    <w:qFormat/>
    <w:rsid w:val="00830C50"/>
    <w:pPr>
      <w:spacing w:before="120" w:after="120"/>
      <w:ind w:left="709" w:firstLine="0"/>
      <w:jc w:val="center"/>
    </w:pPr>
  </w:style>
  <w:style w:type="paragraph" w:customStyle="1" w:styleId="MDPI3aequationnumber">
    <w:name w:val="MDPI_3.a_equation_number"/>
    <w:basedOn w:val="MDPI31text"/>
    <w:qFormat/>
    <w:rsid w:val="00830C50"/>
    <w:pPr>
      <w:spacing w:before="120" w:after="120" w:line="240" w:lineRule="auto"/>
      <w:ind w:firstLine="0"/>
      <w:jc w:val="right"/>
    </w:pPr>
  </w:style>
  <w:style w:type="paragraph" w:customStyle="1" w:styleId="MDPI62Acknowledgments">
    <w:name w:val="MDPI_6.2_Acknowledgments"/>
    <w:qFormat/>
    <w:rsid w:val="00830C50"/>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830C50"/>
    <w:pPr>
      <w:spacing w:before="240" w:after="120" w:line="260" w:lineRule="atLeast"/>
      <w:ind w:left="425" w:right="425"/>
    </w:pPr>
    <w:rPr>
      <w:snapToGrid/>
      <w:szCs w:val="22"/>
    </w:rPr>
  </w:style>
  <w:style w:type="paragraph" w:customStyle="1" w:styleId="MDPI42tablebody">
    <w:name w:val="MDPI_4.2_table_body"/>
    <w:qFormat/>
    <w:rsid w:val="00481B84"/>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830C50"/>
    <w:pPr>
      <w:spacing w:before="0"/>
      <w:ind w:left="0" w:right="0"/>
    </w:pPr>
  </w:style>
  <w:style w:type="paragraph" w:customStyle="1" w:styleId="MDPI51figurecaption">
    <w:name w:val="MDPI_5.1_figure_caption"/>
    <w:basedOn w:val="MDPI62Acknowledgments"/>
    <w:qFormat/>
    <w:rsid w:val="00830C50"/>
    <w:pPr>
      <w:spacing w:after="240" w:line="260" w:lineRule="atLeast"/>
      <w:ind w:left="425" w:right="425"/>
    </w:pPr>
    <w:rPr>
      <w:snapToGrid/>
    </w:rPr>
  </w:style>
  <w:style w:type="paragraph" w:customStyle="1" w:styleId="MDPI52figure">
    <w:name w:val="MDPI_5.2_figure"/>
    <w:qFormat/>
    <w:rsid w:val="00830C50"/>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830C50"/>
    <w:pPr>
      <w:spacing w:before="240"/>
    </w:pPr>
    <w:rPr>
      <w:lang w:eastAsia="en-US"/>
    </w:rPr>
  </w:style>
  <w:style w:type="paragraph" w:customStyle="1" w:styleId="MDPI63AuthorContributions">
    <w:name w:val="MDPI_6.3_AuthorContributions"/>
    <w:basedOn w:val="MDPI62Acknowledgments"/>
    <w:qFormat/>
    <w:rsid w:val="00830C50"/>
    <w:rPr>
      <w:rFonts w:eastAsia="SimSun"/>
      <w:color w:val="auto"/>
      <w:lang w:eastAsia="en-US"/>
    </w:rPr>
  </w:style>
  <w:style w:type="paragraph" w:customStyle="1" w:styleId="MDPI64CoI">
    <w:name w:val="MDPI_6.4_CoI"/>
    <w:basedOn w:val="MDPI62Acknowledgments"/>
    <w:qFormat/>
    <w:rsid w:val="00830C50"/>
  </w:style>
  <w:style w:type="paragraph" w:customStyle="1" w:styleId="MDPI81theorem">
    <w:name w:val="MDPI_8.1_theorem"/>
    <w:basedOn w:val="MDPI32textnoindent"/>
    <w:qFormat/>
    <w:rsid w:val="00830C50"/>
    <w:rPr>
      <w:i/>
    </w:rPr>
  </w:style>
  <w:style w:type="paragraph" w:customStyle="1" w:styleId="MDPI82proof">
    <w:name w:val="MDPI_8.2_proof"/>
    <w:basedOn w:val="MDPI32textnoindent"/>
    <w:qFormat/>
    <w:rsid w:val="00830C50"/>
  </w:style>
  <w:style w:type="paragraph" w:customStyle="1" w:styleId="MDPI31text">
    <w:name w:val="MDPI_3.1_text"/>
    <w:qFormat/>
    <w:rsid w:val="00830C50"/>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830C50"/>
    <w:pPr>
      <w:spacing w:before="240" w:after="120"/>
      <w:ind w:firstLine="0"/>
      <w:jc w:val="left"/>
      <w:outlineLvl w:val="2"/>
    </w:pPr>
  </w:style>
  <w:style w:type="paragraph" w:customStyle="1" w:styleId="MDPI21heading1">
    <w:name w:val="MDPI_2.1_heading1"/>
    <w:basedOn w:val="MDPI23heading3"/>
    <w:qFormat/>
    <w:rsid w:val="00830C50"/>
    <w:pPr>
      <w:outlineLvl w:val="0"/>
    </w:pPr>
    <w:rPr>
      <w:b/>
    </w:rPr>
  </w:style>
  <w:style w:type="paragraph" w:customStyle="1" w:styleId="MDPI22heading2">
    <w:name w:val="MDPI_2.2_heading2"/>
    <w:basedOn w:val="Normal"/>
    <w:qFormat/>
    <w:rsid w:val="00830C50"/>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830C50"/>
    <w:pPr>
      <w:numPr>
        <w:numId w:val="3"/>
      </w:numPr>
      <w:spacing w:before="0" w:line="260" w:lineRule="atLeast"/>
    </w:pPr>
  </w:style>
  <w:style w:type="paragraph" w:styleId="BalloonText">
    <w:name w:val="Balloon Text"/>
    <w:basedOn w:val="Normal"/>
    <w:link w:val="BalloonTextChar"/>
    <w:uiPriority w:val="99"/>
    <w:semiHidden/>
    <w:unhideWhenUsed/>
    <w:rsid w:val="00830C50"/>
    <w:pPr>
      <w:spacing w:line="240" w:lineRule="auto"/>
    </w:pPr>
    <w:rPr>
      <w:sz w:val="18"/>
      <w:szCs w:val="18"/>
    </w:rPr>
  </w:style>
  <w:style w:type="character" w:customStyle="1" w:styleId="BalloonTextChar">
    <w:name w:val="Balloon Text Char"/>
    <w:link w:val="BalloonText"/>
    <w:uiPriority w:val="99"/>
    <w:semiHidden/>
    <w:rsid w:val="00830C50"/>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830C50"/>
  </w:style>
  <w:style w:type="table" w:customStyle="1" w:styleId="MDPI41threelinetable">
    <w:name w:val="MDPI_4.1_three_line_table"/>
    <w:basedOn w:val="TableNormal"/>
    <w:uiPriority w:val="99"/>
    <w:rsid w:val="00481B8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C84460"/>
    <w:rPr>
      <w:color w:val="0563C1"/>
      <w:u w:val="single"/>
    </w:rPr>
  </w:style>
  <w:style w:type="character" w:customStyle="1" w:styleId="1">
    <w:name w:val="Неразрешенное упоминание1"/>
    <w:uiPriority w:val="99"/>
    <w:semiHidden/>
    <w:unhideWhenUsed/>
    <w:rsid w:val="00B06874"/>
    <w:rPr>
      <w:color w:val="605E5C"/>
      <w:shd w:val="clear" w:color="auto" w:fill="E1DFDD"/>
    </w:rPr>
  </w:style>
  <w:style w:type="table" w:styleId="PlainTable4">
    <w:name w:val="Plain Table 4"/>
    <w:basedOn w:val="TableNormal"/>
    <w:uiPriority w:val="44"/>
    <w:rsid w:val="001C07B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mitrela%20Cozma.DESKTOP-LOPNOH1\Downloads\metabolites-templat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metabolites-template.dot</Template>
  <TotalTime>45</TotalTime>
  <Pages>7</Pages>
  <Words>2540</Words>
  <Characters>15068</Characters>
  <Application>Microsoft Office Word</Application>
  <DocSecurity>0</DocSecurity>
  <Lines>284</Lines>
  <Paragraphs>116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17492</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473598</dc:creator>
  <cp:keywords/>
  <dc:description/>
  <cp:lastModifiedBy>MDPI-13</cp:lastModifiedBy>
  <cp:revision>4</cp:revision>
  <dcterms:created xsi:type="dcterms:W3CDTF">2020-07-23T16:12:00Z</dcterms:created>
  <dcterms:modified xsi:type="dcterms:W3CDTF">2020-09-11T14:27:00Z</dcterms:modified>
</cp:coreProperties>
</file>