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14791" w14:textId="77777777" w:rsidR="00280EDA" w:rsidRPr="0070654D" w:rsidRDefault="00280EDA" w:rsidP="00280EDA">
      <w:pPr>
        <w:widowControl/>
        <w:jc w:val="center"/>
        <w:rPr>
          <w:rFonts w:cstheme="minorHAnsi"/>
          <w:b/>
          <w:bCs/>
        </w:rPr>
      </w:pPr>
      <w:r w:rsidRPr="0070654D">
        <w:rPr>
          <w:rFonts w:cstheme="minorHAnsi"/>
          <w:b/>
          <w:bCs/>
        </w:rPr>
        <w:t xml:space="preserve">Stable Isotopic Tracer </w:t>
      </w:r>
      <w:proofErr w:type="spellStart"/>
      <w:r w:rsidRPr="0070654D">
        <w:rPr>
          <w:rFonts w:cstheme="minorHAnsi"/>
          <w:b/>
          <w:bCs/>
        </w:rPr>
        <w:t>Phospholipidomics</w:t>
      </w:r>
      <w:proofErr w:type="spellEnd"/>
      <w:r w:rsidRPr="0070654D">
        <w:rPr>
          <w:rFonts w:cstheme="minorHAnsi"/>
          <w:b/>
          <w:bCs/>
        </w:rPr>
        <w:t xml:space="preserve"> Reveals Contributions of Key Phospholipid Biosynthetic Pathways to Low Hepatocyte Phosphatidylcholine to Phosphatidylethanolamine Ratio Induced by Free Fatty Acids</w:t>
      </w:r>
    </w:p>
    <w:p w14:paraId="30334AFC" w14:textId="77777777" w:rsidR="00280EDA" w:rsidRPr="0070654D" w:rsidRDefault="00280EDA" w:rsidP="00280EDA">
      <w:pPr>
        <w:widowControl/>
        <w:rPr>
          <w:rFonts w:cstheme="minorHAnsi"/>
          <w:b/>
          <w:bCs/>
        </w:rPr>
      </w:pPr>
    </w:p>
    <w:p w14:paraId="498C7F77" w14:textId="77777777" w:rsidR="00E210CE" w:rsidRPr="0030057B" w:rsidRDefault="00E210CE" w:rsidP="00E210CE">
      <w:pPr>
        <w:pStyle w:val="MDPI13authornames"/>
      </w:pPr>
      <w:r w:rsidRPr="009F663D">
        <w:rPr>
          <w:rFonts w:hint="eastAsia"/>
        </w:rPr>
        <w:t>Kang-Yu Peng (</w:t>
      </w:r>
      <w:r w:rsidRPr="009F663D">
        <w:rPr>
          <w:rFonts w:ascii="PMingLiU" w:eastAsia="PMingLiU" w:hAnsi="PMingLiU" w:cs="PMingLiU" w:hint="eastAsia"/>
        </w:rPr>
        <w:t>彭康祐</w:t>
      </w:r>
      <w:r w:rsidRPr="009F663D">
        <w:rPr>
          <w:rFonts w:hint="eastAsia"/>
        </w:rPr>
        <w:t xml:space="preserve">)1,2, Chris </w:t>
      </w:r>
      <w:r>
        <w:t xml:space="preserve">K </w:t>
      </w:r>
      <w:r w:rsidRPr="009F663D">
        <w:rPr>
          <w:rFonts w:hint="eastAsia"/>
        </w:rPr>
        <w:t xml:space="preserve">Barlow1,3, Helene Kammoun4, Natalie </w:t>
      </w:r>
      <w:r>
        <w:t xml:space="preserve">A </w:t>
      </w:r>
      <w:r w:rsidRPr="009F663D">
        <w:rPr>
          <w:rFonts w:hint="eastAsia"/>
        </w:rPr>
        <w:t>Mellett1, Jacqu</w:t>
      </w:r>
      <w:r>
        <w:t xml:space="preserve">elyn M </w:t>
      </w:r>
      <w:r w:rsidRPr="009F663D">
        <w:rPr>
          <w:rFonts w:hint="eastAsia"/>
        </w:rPr>
        <w:t xml:space="preserve">Weir1, Andrew </w:t>
      </w:r>
      <w:r>
        <w:t xml:space="preserve">J </w:t>
      </w:r>
      <w:r w:rsidRPr="009F663D">
        <w:rPr>
          <w:rFonts w:hint="eastAsia"/>
        </w:rPr>
        <w:t>Murphy4, Mark A Febbraio5 and Peter J Meikle1, 6*</w:t>
      </w:r>
    </w:p>
    <w:p w14:paraId="2E02E0C2" w14:textId="77777777" w:rsidR="00E210CE" w:rsidRPr="00D945EC" w:rsidRDefault="00E210CE" w:rsidP="00E210CE">
      <w:pPr>
        <w:pStyle w:val="MDPI16affiliation"/>
        <w:ind w:left="284"/>
      </w:pPr>
      <w:r w:rsidRPr="00D945EC">
        <w:rPr>
          <w:vertAlign w:val="superscript"/>
        </w:rPr>
        <w:t>1</w:t>
      </w:r>
      <w:r w:rsidRPr="00D945EC">
        <w:tab/>
      </w:r>
      <w:r w:rsidRPr="009F663D">
        <w:t>Metabolomics Laboratory, Baker Heart Institute, Melbourne, Victoria, Australia</w:t>
      </w:r>
    </w:p>
    <w:p w14:paraId="3F7534DD" w14:textId="77777777" w:rsidR="00E210CE" w:rsidRDefault="00E210CE" w:rsidP="00E210CE">
      <w:pPr>
        <w:pStyle w:val="MDPI16affiliation"/>
        <w:ind w:left="284"/>
        <w:rPr>
          <w:rFonts w:cs="Calibri"/>
          <w:szCs w:val="24"/>
        </w:rPr>
      </w:pPr>
      <w:r w:rsidRPr="00D945EC">
        <w:rPr>
          <w:vertAlign w:val="superscript"/>
        </w:rPr>
        <w:t>2</w:t>
      </w:r>
      <w:r w:rsidRPr="00D945EC">
        <w:tab/>
      </w:r>
      <w:r w:rsidRPr="009F663D">
        <w:rPr>
          <w:rFonts w:cs="Calibri"/>
          <w:szCs w:val="24"/>
        </w:rPr>
        <w:t>Department of Biochemistry and Molecular Biology, University of Melbourne, Parkville, Victoria, Australia</w:t>
      </w:r>
    </w:p>
    <w:p w14:paraId="0E79D994" w14:textId="77777777" w:rsidR="00E210CE" w:rsidRDefault="00E210CE" w:rsidP="00E210CE">
      <w:pPr>
        <w:pStyle w:val="MDPI16affiliation"/>
        <w:ind w:left="284"/>
        <w:rPr>
          <w:vertAlign w:val="superscript"/>
        </w:rPr>
      </w:pPr>
      <w:r>
        <w:rPr>
          <w:vertAlign w:val="superscript"/>
        </w:rPr>
        <w:t>3</w:t>
      </w:r>
      <w:r>
        <w:rPr>
          <w:vertAlign w:val="superscript"/>
        </w:rPr>
        <w:tab/>
      </w:r>
      <w:r w:rsidRPr="009F663D">
        <w:rPr>
          <w:rFonts w:cs="Calibri"/>
          <w:szCs w:val="24"/>
        </w:rPr>
        <w:t>Proteomics and Metabolomics Facility and the Department of Biochemistry and Molecular Biology, Biomedicine Discovery Institute, Monash University, Clayton, VIC 3800, Australia</w:t>
      </w:r>
    </w:p>
    <w:p w14:paraId="739CCDB1" w14:textId="77777777" w:rsidR="00E210CE" w:rsidRDefault="00E210CE" w:rsidP="00E210CE">
      <w:pPr>
        <w:pStyle w:val="MDPI16affiliation"/>
        <w:ind w:left="284"/>
        <w:rPr>
          <w:vertAlign w:val="superscript"/>
        </w:rPr>
      </w:pPr>
      <w:r>
        <w:rPr>
          <w:vertAlign w:val="superscript"/>
        </w:rPr>
        <w:t>4</w:t>
      </w:r>
      <w:r>
        <w:rPr>
          <w:vertAlign w:val="superscript"/>
        </w:rPr>
        <w:tab/>
      </w:r>
      <w:r w:rsidRPr="009F663D">
        <w:rPr>
          <w:rFonts w:cs="Calibri"/>
          <w:szCs w:val="24"/>
        </w:rPr>
        <w:t>Hematopoiesis &amp; Leukocyte Biology Laboratory, Baker Heart Institute, Melbourne, Victoria, Australia</w:t>
      </w:r>
    </w:p>
    <w:p w14:paraId="618BF1B7" w14:textId="77777777" w:rsidR="00E210CE" w:rsidRDefault="00E210CE" w:rsidP="00E210CE">
      <w:pPr>
        <w:pStyle w:val="MDPI16affiliation"/>
        <w:ind w:left="284"/>
        <w:rPr>
          <w:vertAlign w:val="superscript"/>
        </w:rPr>
      </w:pPr>
      <w:r>
        <w:rPr>
          <w:vertAlign w:val="superscript"/>
        </w:rPr>
        <w:t>5</w:t>
      </w:r>
      <w:r>
        <w:rPr>
          <w:vertAlign w:val="superscript"/>
        </w:rPr>
        <w:tab/>
      </w:r>
      <w:r w:rsidRPr="009F663D">
        <w:rPr>
          <w:rFonts w:cs="Calibri"/>
          <w:szCs w:val="24"/>
        </w:rPr>
        <w:t>Cellular &amp; Molecular Metabolism Laboratory, Drug Discovery Biology, Monash Institute of Pharmaceutical Sciences, Monash University, Melbourne, Victoria, Australia</w:t>
      </w:r>
    </w:p>
    <w:p w14:paraId="50C4E168" w14:textId="77777777" w:rsidR="00E210CE" w:rsidRPr="00D945EC" w:rsidRDefault="00E210CE" w:rsidP="00E210CE">
      <w:pPr>
        <w:pStyle w:val="MDPI16affiliation"/>
        <w:ind w:left="284"/>
      </w:pPr>
      <w:r>
        <w:rPr>
          <w:vertAlign w:val="superscript"/>
        </w:rPr>
        <w:t>6</w:t>
      </w:r>
      <w:r>
        <w:rPr>
          <w:vertAlign w:val="superscript"/>
        </w:rPr>
        <w:tab/>
      </w:r>
      <w:r w:rsidRPr="009F663D">
        <w:rPr>
          <w:rFonts w:cs="Calibri"/>
          <w:szCs w:val="24"/>
        </w:rPr>
        <w:t>Baker Department of Cardiometabolic Health, University of Melbourne, Parkville, Victoria, Australia</w:t>
      </w:r>
    </w:p>
    <w:p w14:paraId="2C082A26" w14:textId="6D5F7294" w:rsidR="00E210CE" w:rsidRDefault="00E210CE" w:rsidP="00E210CE">
      <w:pPr>
        <w:pStyle w:val="MDPI16affiliation"/>
        <w:ind w:left="284"/>
        <w:rPr>
          <w:color w:val="FF0000"/>
        </w:rPr>
      </w:pPr>
      <w:r w:rsidRPr="00331633">
        <w:t>*</w:t>
      </w:r>
      <w:r w:rsidRPr="00D945EC">
        <w:tab/>
        <w:t xml:space="preserve">Correspondence: </w:t>
      </w:r>
      <w:r w:rsidRPr="009F663D">
        <w:rPr>
          <w:color w:val="FF0000"/>
        </w:rPr>
        <w:t>peter.meikle@baker.</w:t>
      </w:r>
      <w:r w:rsidR="00224485">
        <w:rPr>
          <w:color w:val="FF0000"/>
        </w:rPr>
        <w:t>edu</w:t>
      </w:r>
      <w:r w:rsidRPr="009F663D">
        <w:rPr>
          <w:color w:val="FF0000"/>
        </w:rPr>
        <w:t>.au; Tel.:</w:t>
      </w:r>
      <w:r>
        <w:rPr>
          <w:color w:val="FF0000"/>
        </w:rPr>
        <w:t xml:space="preserve"> 613 8532 1770 </w:t>
      </w:r>
    </w:p>
    <w:p w14:paraId="5045C5B3" w14:textId="77777777" w:rsidR="00E210CE" w:rsidRPr="00036EA2" w:rsidRDefault="00E210CE" w:rsidP="00E210CE">
      <w:pPr>
        <w:pStyle w:val="MDPI16affiliation"/>
        <w:ind w:left="284"/>
        <w:rPr>
          <w:color w:val="FF0000"/>
        </w:rPr>
      </w:pPr>
      <w:r w:rsidRPr="00036EA2">
        <w:rPr>
          <w:color w:val="FF0000"/>
        </w:rPr>
        <w:t>ORCID ID:</w:t>
      </w:r>
    </w:p>
    <w:p w14:paraId="1FBE5253" w14:textId="209C096A" w:rsidR="00E210CE" w:rsidRPr="00E210CE" w:rsidRDefault="00E210CE" w:rsidP="00E210CE">
      <w:pPr>
        <w:pStyle w:val="MDPI16affiliation"/>
        <w:ind w:left="284"/>
        <w:rPr>
          <w:color w:val="FF0000"/>
          <w:szCs w:val="16"/>
        </w:rPr>
      </w:pPr>
      <w:r w:rsidRPr="00E210CE">
        <w:rPr>
          <w:color w:val="FF0000"/>
          <w:szCs w:val="16"/>
        </w:rPr>
        <w:t>K Peng: 0000-0003-4024-4088</w:t>
      </w:r>
    </w:p>
    <w:p w14:paraId="40A84AFB" w14:textId="6368FC03" w:rsidR="00280EDA" w:rsidRPr="00E210CE" w:rsidRDefault="00E210CE" w:rsidP="00E210CE">
      <w:pPr>
        <w:widowControl/>
        <w:ind w:left="284" w:hanging="198"/>
        <w:rPr>
          <w:rFonts w:ascii="Palatino Linotype" w:hAnsi="Palatino Linotype"/>
          <w:b/>
          <w:bCs/>
          <w:sz w:val="16"/>
          <w:szCs w:val="16"/>
          <w:lang w:val="en-US"/>
        </w:rPr>
      </w:pPr>
      <w:r w:rsidRPr="00E210CE">
        <w:rPr>
          <w:rFonts w:ascii="Palatino Linotype" w:hAnsi="Palatino Linotype"/>
          <w:color w:val="FF0000"/>
          <w:sz w:val="16"/>
          <w:szCs w:val="16"/>
        </w:rPr>
        <w:t>P Meikle: 0000-0002-2593-4665</w:t>
      </w:r>
    </w:p>
    <w:p w14:paraId="311C0E87" w14:textId="1C662557" w:rsidR="00280EDA" w:rsidRDefault="00280EDA" w:rsidP="006B3CC7">
      <w:pPr>
        <w:widowControl/>
        <w:jc w:val="center"/>
        <w:rPr>
          <w:b/>
          <w:bCs/>
          <w:sz w:val="28"/>
          <w:szCs w:val="28"/>
          <w:lang w:val="en-US"/>
        </w:rPr>
      </w:pPr>
    </w:p>
    <w:p w14:paraId="15B33B59" w14:textId="17F8766A" w:rsidR="00280EDA" w:rsidRDefault="00280EDA" w:rsidP="006B3CC7">
      <w:pPr>
        <w:widowControl/>
        <w:jc w:val="center"/>
        <w:rPr>
          <w:b/>
          <w:bCs/>
          <w:sz w:val="28"/>
          <w:szCs w:val="28"/>
          <w:lang w:val="en-US"/>
        </w:rPr>
      </w:pPr>
    </w:p>
    <w:p w14:paraId="31E37303" w14:textId="7DBFFDE6" w:rsidR="00280EDA" w:rsidRDefault="00280EDA" w:rsidP="006B3CC7">
      <w:pPr>
        <w:widowControl/>
        <w:jc w:val="center"/>
        <w:rPr>
          <w:b/>
          <w:bCs/>
          <w:sz w:val="28"/>
          <w:szCs w:val="28"/>
          <w:lang w:val="en-US"/>
        </w:rPr>
      </w:pPr>
    </w:p>
    <w:p w14:paraId="497C4928" w14:textId="400F4CE3" w:rsidR="00280EDA" w:rsidRDefault="00280EDA" w:rsidP="006B3CC7">
      <w:pPr>
        <w:widowControl/>
        <w:jc w:val="center"/>
        <w:rPr>
          <w:b/>
          <w:bCs/>
          <w:sz w:val="28"/>
          <w:szCs w:val="28"/>
          <w:lang w:val="en-US"/>
        </w:rPr>
      </w:pPr>
    </w:p>
    <w:p w14:paraId="260573A3" w14:textId="77777777" w:rsidR="00280EDA" w:rsidRPr="00292A06" w:rsidRDefault="00280EDA" w:rsidP="006B3CC7">
      <w:pPr>
        <w:widowControl/>
        <w:jc w:val="center"/>
        <w:rPr>
          <w:rFonts w:ascii="Palatino Linotype" w:hAnsi="Palatino Linotype"/>
          <w:b/>
          <w:bCs/>
          <w:sz w:val="20"/>
          <w:szCs w:val="20"/>
          <w:lang w:val="en-US"/>
        </w:rPr>
      </w:pPr>
    </w:p>
    <w:p w14:paraId="45F5F68D" w14:textId="42C2A7B3" w:rsidR="006B3CC7" w:rsidRPr="00292A06" w:rsidRDefault="006B3CC7" w:rsidP="006B3CC7">
      <w:pPr>
        <w:widowControl/>
        <w:jc w:val="center"/>
        <w:rPr>
          <w:rFonts w:ascii="Palatino Linotype" w:hAnsi="Palatino Linotype"/>
          <w:b/>
          <w:bCs/>
          <w:sz w:val="20"/>
          <w:szCs w:val="20"/>
        </w:rPr>
      </w:pPr>
      <w:r w:rsidRPr="00292A06">
        <w:rPr>
          <w:rFonts w:ascii="Palatino Linotype" w:hAnsi="Palatino Linotype"/>
          <w:b/>
          <w:bCs/>
          <w:sz w:val="20"/>
          <w:szCs w:val="20"/>
        </w:rPr>
        <w:t>Supplementary Information</w:t>
      </w:r>
    </w:p>
    <w:p w14:paraId="6B94B3CD" w14:textId="77777777" w:rsidR="00280EDA" w:rsidRPr="00292A06" w:rsidRDefault="00280EDA" w:rsidP="006B3CC7">
      <w:pPr>
        <w:widowControl/>
        <w:jc w:val="center"/>
        <w:rPr>
          <w:rFonts w:ascii="Palatino Linotype" w:hAnsi="Palatino Linotype"/>
          <w:b/>
          <w:bCs/>
          <w:sz w:val="20"/>
          <w:szCs w:val="20"/>
        </w:rPr>
      </w:pPr>
    </w:p>
    <w:p w14:paraId="6D55B96A" w14:textId="77777777" w:rsidR="006B3CC7" w:rsidRPr="00292A06" w:rsidRDefault="006B3CC7" w:rsidP="004B775F">
      <w:pPr>
        <w:widowControl/>
        <w:rPr>
          <w:rFonts w:ascii="Palatino Linotype" w:hAnsi="Palatino Linotype"/>
          <w:b/>
          <w:bCs/>
          <w:sz w:val="20"/>
          <w:szCs w:val="20"/>
        </w:rPr>
      </w:pPr>
    </w:p>
    <w:p w14:paraId="34349D46" w14:textId="518A6949" w:rsidR="004B775F" w:rsidRPr="00292A06" w:rsidRDefault="004B775F" w:rsidP="004B775F">
      <w:pPr>
        <w:widowControl/>
        <w:rPr>
          <w:rFonts w:ascii="Palatino Linotype" w:hAnsi="Palatino Linotype"/>
          <w:b/>
          <w:bCs/>
          <w:sz w:val="20"/>
          <w:szCs w:val="20"/>
        </w:rPr>
      </w:pPr>
      <w:r w:rsidRPr="00292A06">
        <w:rPr>
          <w:rFonts w:ascii="Palatino Linotype" w:hAnsi="Palatino Linotype"/>
          <w:b/>
          <w:bCs/>
          <w:sz w:val="20"/>
          <w:szCs w:val="20"/>
        </w:rPr>
        <w:t>Supplementary Materials</w:t>
      </w:r>
    </w:p>
    <w:p w14:paraId="61825D45" w14:textId="77777777" w:rsidR="004B775F" w:rsidRPr="00292A06" w:rsidRDefault="004B775F" w:rsidP="004B775F">
      <w:pPr>
        <w:spacing w:afterLines="50" w:after="120"/>
        <w:rPr>
          <w:rFonts w:ascii="Palatino Linotype" w:hAnsi="Palatino Linotype" w:cstheme="minorHAnsi"/>
          <w:sz w:val="20"/>
          <w:szCs w:val="20"/>
        </w:rPr>
      </w:pPr>
      <w:r w:rsidRPr="00292A06">
        <w:rPr>
          <w:rFonts w:ascii="Palatino Linotype" w:hAnsi="Palatino Linotype" w:cstheme="minorHAnsi"/>
          <w:sz w:val="20"/>
          <w:szCs w:val="20"/>
        </w:rPr>
        <w:t>For materials used in this study, bicinchoninic acid (BCA)</w:t>
      </w:r>
      <w:r w:rsidRPr="00292A06">
        <w:rPr>
          <w:rFonts w:ascii="Palatino Linotype" w:hAnsi="Palatino Linotype" w:cstheme="minorHAnsi"/>
          <w:color w:val="000000"/>
          <w:kern w:val="0"/>
          <w:sz w:val="20"/>
          <w:szCs w:val="20"/>
          <w:lang w:val="en-US"/>
        </w:rPr>
        <w:t xml:space="preserve"> assay kit was purchased from Pierce </w:t>
      </w:r>
      <w:r w:rsidRPr="00292A06">
        <w:rPr>
          <w:rFonts w:ascii="Palatino Linotype" w:hAnsi="Palatino Linotype" w:cstheme="minorHAnsi"/>
          <w:sz w:val="20"/>
          <w:szCs w:val="20"/>
        </w:rPr>
        <w:t>Biochemical (Rockford, IL, USA</w:t>
      </w:r>
      <w:r w:rsidRPr="00292A06">
        <w:rPr>
          <w:rFonts w:ascii="Palatino Linotype" w:hAnsi="Palatino Linotype" w:cstheme="minorHAnsi"/>
          <w:color w:val="000000"/>
          <w:kern w:val="0"/>
          <w:sz w:val="20"/>
          <w:szCs w:val="20"/>
          <w:lang w:val="en-US"/>
        </w:rPr>
        <w:t>)</w:t>
      </w:r>
      <w:r w:rsidRPr="00292A06">
        <w:rPr>
          <w:rFonts w:ascii="Palatino Linotype" w:hAnsi="Palatino Linotype" w:cstheme="minorHAnsi"/>
          <w:sz w:val="20"/>
          <w:szCs w:val="20"/>
        </w:rPr>
        <w:t>.</w:t>
      </w:r>
      <w:r w:rsidRPr="00292A06">
        <w:rPr>
          <w:rFonts w:ascii="Palatino Linotype" w:hAnsi="Palatino Linotype" w:cstheme="minorHAnsi"/>
          <w:color w:val="000000"/>
          <w:kern w:val="0"/>
          <w:sz w:val="20"/>
          <w:szCs w:val="20"/>
          <w:lang w:val="en-US"/>
        </w:rPr>
        <w:t xml:space="preserve"> </w:t>
      </w:r>
      <w:r w:rsidRPr="00292A06">
        <w:rPr>
          <w:rFonts w:ascii="Palatino Linotype" w:hAnsi="Palatino Linotype" w:cstheme="minorHAnsi"/>
          <w:sz w:val="20"/>
          <w:szCs w:val="20"/>
        </w:rPr>
        <w:t>Butanol was purchased from Merck &amp; Co. (Kenilworth, NJ, USA).</w:t>
      </w:r>
      <w:r w:rsidRPr="00292A06">
        <w:rPr>
          <w:rFonts w:ascii="Palatino Linotype" w:hAnsi="Palatino Linotype" w:cstheme="minorHAnsi"/>
          <w:color w:val="000000"/>
          <w:kern w:val="0"/>
          <w:sz w:val="20"/>
          <w:szCs w:val="20"/>
          <w:lang w:val="en-US"/>
        </w:rPr>
        <w:t xml:space="preserve"> </w:t>
      </w:r>
      <w:r w:rsidRPr="00292A06">
        <w:rPr>
          <w:rFonts w:ascii="Palatino Linotype" w:hAnsi="Palatino Linotype" w:cstheme="minorHAnsi"/>
          <w:sz w:val="20"/>
          <w:szCs w:val="20"/>
        </w:rPr>
        <w:t>C</w:t>
      </w:r>
      <w:proofErr w:type="spellStart"/>
      <w:r w:rsidRPr="00292A06">
        <w:rPr>
          <w:rFonts w:ascii="Palatino Linotype" w:hAnsi="Palatino Linotype" w:cstheme="minorHAnsi"/>
          <w:color w:val="000000"/>
          <w:kern w:val="0"/>
          <w:sz w:val="20"/>
          <w:szCs w:val="20"/>
          <w:lang w:val="en-US"/>
        </w:rPr>
        <w:t>ollagenase</w:t>
      </w:r>
      <w:proofErr w:type="spellEnd"/>
      <w:r w:rsidRPr="00292A06">
        <w:rPr>
          <w:rFonts w:ascii="Palatino Linotype" w:hAnsi="Palatino Linotype" w:cstheme="minorHAnsi"/>
          <w:color w:val="000000"/>
          <w:kern w:val="0"/>
          <w:sz w:val="20"/>
          <w:szCs w:val="20"/>
          <w:lang w:val="en-US"/>
        </w:rPr>
        <w:t xml:space="preserve"> A was from Roche Diagnostics (</w:t>
      </w:r>
      <w:proofErr w:type="spellStart"/>
      <w:r w:rsidRPr="00292A06">
        <w:rPr>
          <w:rFonts w:ascii="Palatino Linotype" w:hAnsi="Palatino Linotype" w:cstheme="minorHAnsi"/>
          <w:sz w:val="20"/>
          <w:szCs w:val="20"/>
        </w:rPr>
        <w:t>Rotkreuz</w:t>
      </w:r>
      <w:proofErr w:type="spellEnd"/>
      <w:r w:rsidRPr="00292A06">
        <w:rPr>
          <w:rFonts w:ascii="Palatino Linotype" w:hAnsi="Palatino Linotype" w:cstheme="minorHAnsi"/>
          <w:sz w:val="20"/>
          <w:szCs w:val="20"/>
        </w:rPr>
        <w:t>, Switzerland</w:t>
      </w:r>
      <w:r w:rsidRPr="00292A06">
        <w:rPr>
          <w:rFonts w:ascii="Palatino Linotype" w:hAnsi="Palatino Linotype" w:cstheme="minorHAnsi"/>
          <w:color w:val="000000"/>
          <w:kern w:val="0"/>
          <w:sz w:val="20"/>
          <w:szCs w:val="20"/>
          <w:lang w:val="en-US"/>
        </w:rPr>
        <w:t>)</w:t>
      </w:r>
      <w:r w:rsidRPr="00292A06">
        <w:rPr>
          <w:rFonts w:ascii="Palatino Linotype" w:hAnsi="Palatino Linotype" w:cstheme="minorHAnsi"/>
          <w:sz w:val="20"/>
          <w:szCs w:val="20"/>
        </w:rPr>
        <w:t>. D3-L-methionine (methyl-D3), D4-ethanolamine (1,1,2,2-D4) and D9-choline chloride (trimethyl-D9) were purchased from Cambridge Isotopes (Tewksbury, MA, USA). DMEM without L-glutamine, L-methionine, calcium, D-</w:t>
      </w:r>
      <w:proofErr w:type="spellStart"/>
      <w:r w:rsidRPr="00292A06">
        <w:rPr>
          <w:rFonts w:ascii="Palatino Linotype" w:hAnsi="Palatino Linotype" w:cstheme="minorHAnsi"/>
          <w:sz w:val="20"/>
          <w:szCs w:val="20"/>
        </w:rPr>
        <w:t>pentothenic</w:t>
      </w:r>
      <w:proofErr w:type="spellEnd"/>
      <w:r w:rsidRPr="00292A06">
        <w:rPr>
          <w:rFonts w:ascii="Palatino Linotype" w:hAnsi="Palatino Linotype" w:cstheme="minorHAnsi"/>
          <w:sz w:val="20"/>
          <w:szCs w:val="20"/>
        </w:rPr>
        <w:t xml:space="preserve"> acid, choline chloride, inositol and sodium pyruvate (Cat. D9809; called special DMEM in the later context) was from US Biological Life Sciences (Salem, MA, USA). M199 media was purchased from Life Technologies (Carlsbad, CA, USA). Propidium iodide solution was from Cayman Chemical (Ann Arbor, MI, USA). </w:t>
      </w:r>
      <w:proofErr w:type="spellStart"/>
      <w:r w:rsidRPr="00292A06">
        <w:rPr>
          <w:rFonts w:ascii="Palatino Linotype" w:hAnsi="Palatino Linotype" w:cstheme="minorHAnsi"/>
          <w:sz w:val="20"/>
          <w:szCs w:val="20"/>
        </w:rPr>
        <w:t>Ultroser</w:t>
      </w:r>
      <w:proofErr w:type="spellEnd"/>
      <w:r w:rsidRPr="00292A06">
        <w:rPr>
          <w:rFonts w:ascii="Palatino Linotype" w:hAnsi="Palatino Linotype" w:cstheme="minorHAnsi"/>
          <w:color w:val="000000"/>
          <w:kern w:val="0"/>
          <w:sz w:val="20"/>
          <w:szCs w:val="20"/>
          <w:vertAlign w:val="superscript"/>
          <w:lang w:val="en-US"/>
        </w:rPr>
        <w:t>TM</w:t>
      </w:r>
      <w:r w:rsidRPr="00292A06">
        <w:rPr>
          <w:rFonts w:ascii="Palatino Linotype" w:hAnsi="Palatino Linotype" w:cstheme="minorHAnsi"/>
          <w:sz w:val="20"/>
          <w:szCs w:val="20"/>
        </w:rPr>
        <w:t xml:space="preserve"> G serum substitute was from Pall Corporation (New York, USA). All the other chemicals, reagents and solvents were obtained from Sigma-Aldrich (St. Louis, MO, USA). Solvents for lipid extraction and LC-MS lipidomics analysis were of LC-MS grade. For lipid internal standards, cholesterol ester 18:0 (d6) was from C/D/N Isotopes (Pointe-Claire, Quebec, Canada). Diacylglycerol 15:0/15:0 and triacylglycerol 17:0/17:0/17:0 were from Sigma-Aldrich. Dihexosylceramide 16:0 (d3), monohexosylceramide 16:0 (d3) and t</w:t>
      </w:r>
      <w:proofErr w:type="spellStart"/>
      <w:r w:rsidRPr="00292A06">
        <w:rPr>
          <w:rFonts w:ascii="Palatino Linotype" w:hAnsi="Palatino Linotype" w:cstheme="minorHAnsi"/>
          <w:color w:val="000000"/>
          <w:kern w:val="0"/>
          <w:sz w:val="20"/>
          <w:szCs w:val="20"/>
          <w:lang w:val="en-US"/>
        </w:rPr>
        <w:t>rihexosylceramide</w:t>
      </w:r>
      <w:proofErr w:type="spellEnd"/>
      <w:r w:rsidRPr="00292A06">
        <w:rPr>
          <w:rFonts w:ascii="Palatino Linotype" w:hAnsi="Palatino Linotype" w:cstheme="minorHAnsi"/>
          <w:color w:val="000000"/>
          <w:kern w:val="0"/>
          <w:sz w:val="20"/>
          <w:szCs w:val="20"/>
          <w:lang w:val="en-US"/>
        </w:rPr>
        <w:t xml:space="preserve"> 17:0</w:t>
      </w:r>
      <w:r w:rsidRPr="00292A06">
        <w:rPr>
          <w:rFonts w:ascii="Palatino Linotype" w:hAnsi="Palatino Linotype" w:cstheme="minorHAnsi"/>
          <w:sz w:val="20"/>
          <w:szCs w:val="20"/>
        </w:rPr>
        <w:t xml:space="preserve"> were purchased from </w:t>
      </w:r>
      <w:proofErr w:type="spellStart"/>
      <w:r w:rsidRPr="00292A06">
        <w:rPr>
          <w:rFonts w:ascii="Palatino Linotype" w:hAnsi="Palatino Linotype" w:cstheme="minorHAnsi"/>
          <w:sz w:val="20"/>
          <w:szCs w:val="20"/>
        </w:rPr>
        <w:t>Matreya</w:t>
      </w:r>
      <w:proofErr w:type="spellEnd"/>
      <w:r w:rsidRPr="00292A06">
        <w:rPr>
          <w:rFonts w:ascii="Palatino Linotype" w:hAnsi="Palatino Linotype" w:cstheme="minorHAnsi"/>
          <w:sz w:val="20"/>
          <w:szCs w:val="20"/>
        </w:rPr>
        <w:t xml:space="preserve"> LCC Inc. (State College, PA, USA). All the other lipid internal standards were from Avanti Polar Lipids Inc. (Alabaster, AL, USA).</w:t>
      </w:r>
    </w:p>
    <w:p w14:paraId="0D18DB34" w14:textId="77777777" w:rsidR="004B775F" w:rsidRPr="00292A06" w:rsidRDefault="004B775F" w:rsidP="004B775F">
      <w:pPr>
        <w:spacing w:afterLines="50" w:after="120"/>
        <w:rPr>
          <w:rFonts w:ascii="Palatino Linotype" w:hAnsi="Palatino Linotype" w:cstheme="minorHAnsi"/>
          <w:b/>
          <w:bCs/>
          <w:sz w:val="20"/>
          <w:szCs w:val="20"/>
        </w:rPr>
      </w:pPr>
    </w:p>
    <w:p w14:paraId="61410DE9" w14:textId="10D66CCE" w:rsidR="004B775F" w:rsidRPr="00292A06" w:rsidRDefault="004B775F" w:rsidP="004B775F">
      <w:pPr>
        <w:spacing w:afterLines="50" w:after="120"/>
        <w:rPr>
          <w:rFonts w:ascii="Palatino Linotype" w:hAnsi="Palatino Linotype" w:cstheme="minorHAnsi"/>
          <w:b/>
          <w:bCs/>
          <w:sz w:val="20"/>
          <w:szCs w:val="20"/>
        </w:rPr>
      </w:pPr>
      <w:r w:rsidRPr="00292A06">
        <w:rPr>
          <w:rFonts w:ascii="Palatino Linotype" w:hAnsi="Palatino Linotype" w:cstheme="minorHAnsi"/>
          <w:b/>
          <w:bCs/>
          <w:sz w:val="20"/>
          <w:szCs w:val="20"/>
        </w:rPr>
        <w:t>Supplementary Experimental Procedures</w:t>
      </w:r>
    </w:p>
    <w:p w14:paraId="17BF886D" w14:textId="13F89B95" w:rsidR="004B775F" w:rsidRPr="00292A06" w:rsidRDefault="004B775F" w:rsidP="004B775F">
      <w:pPr>
        <w:spacing w:afterLines="50" w:after="120"/>
        <w:rPr>
          <w:rFonts w:ascii="Palatino Linotype" w:hAnsi="Palatino Linotype" w:cstheme="minorHAnsi"/>
          <w:i/>
          <w:iCs/>
          <w:sz w:val="20"/>
          <w:szCs w:val="20"/>
        </w:rPr>
      </w:pPr>
      <w:r w:rsidRPr="00292A06">
        <w:rPr>
          <w:rFonts w:ascii="Palatino Linotype" w:hAnsi="Palatino Linotype" w:cstheme="minorHAnsi"/>
          <w:i/>
          <w:iCs/>
          <w:sz w:val="20"/>
          <w:szCs w:val="20"/>
        </w:rPr>
        <w:t>Rat Hepatocytes Isolation</w:t>
      </w:r>
    </w:p>
    <w:p w14:paraId="29E17CD7" w14:textId="3D154AD5" w:rsidR="004B775F" w:rsidRPr="00292A06" w:rsidRDefault="004B775F" w:rsidP="004B775F">
      <w:pPr>
        <w:pStyle w:val="Default"/>
        <w:spacing w:afterLines="50" w:after="120"/>
        <w:rPr>
          <w:rFonts w:ascii="Palatino Linotype" w:hAnsi="Palatino Linotype" w:cstheme="minorHAnsi"/>
          <w:sz w:val="20"/>
          <w:szCs w:val="20"/>
        </w:rPr>
      </w:pPr>
      <w:r w:rsidRPr="00292A06">
        <w:rPr>
          <w:rFonts w:ascii="Palatino Linotype" w:hAnsi="Palatino Linotype" w:cstheme="minorHAnsi"/>
          <w:sz w:val="20"/>
          <w:szCs w:val="20"/>
        </w:rPr>
        <w:t xml:space="preserve">Briefly, male Sprague Dawley rats between 6~10 weeks of age were </w:t>
      </w:r>
      <w:proofErr w:type="spellStart"/>
      <w:r w:rsidRPr="00292A06">
        <w:rPr>
          <w:rFonts w:ascii="Palatino Linotype" w:hAnsi="Palatino Linotype" w:cstheme="minorHAnsi"/>
          <w:sz w:val="20"/>
          <w:szCs w:val="20"/>
        </w:rPr>
        <w:t>anaestheti</w:t>
      </w:r>
      <w:r w:rsidR="00681FF1">
        <w:rPr>
          <w:rFonts w:ascii="Palatino Linotype" w:hAnsi="Palatino Linotype" w:cstheme="minorHAnsi"/>
          <w:sz w:val="20"/>
          <w:szCs w:val="20"/>
        </w:rPr>
        <w:t>s</w:t>
      </w:r>
      <w:r w:rsidRPr="00292A06">
        <w:rPr>
          <w:rFonts w:ascii="Palatino Linotype" w:hAnsi="Palatino Linotype" w:cstheme="minorHAnsi"/>
          <w:sz w:val="20"/>
          <w:szCs w:val="20"/>
        </w:rPr>
        <w:t>ed</w:t>
      </w:r>
      <w:proofErr w:type="spellEnd"/>
      <w:r w:rsidRPr="00292A06">
        <w:rPr>
          <w:rFonts w:ascii="Palatino Linotype" w:hAnsi="Palatino Linotype" w:cstheme="minorHAnsi"/>
          <w:sz w:val="20"/>
          <w:szCs w:val="20"/>
        </w:rPr>
        <w:t xml:space="preserve"> with </w:t>
      </w:r>
      <w:proofErr w:type="spellStart"/>
      <w:r w:rsidRPr="00292A06">
        <w:rPr>
          <w:rFonts w:ascii="Palatino Linotype" w:hAnsi="Palatino Linotype" w:cstheme="minorHAnsi"/>
          <w:sz w:val="20"/>
          <w:szCs w:val="20"/>
        </w:rPr>
        <w:lastRenderedPageBreak/>
        <w:t>pentobarbitone</w:t>
      </w:r>
      <w:proofErr w:type="spellEnd"/>
      <w:r w:rsidRPr="00292A06">
        <w:rPr>
          <w:rFonts w:ascii="Palatino Linotype" w:hAnsi="Palatino Linotype" w:cstheme="minorHAnsi"/>
          <w:sz w:val="20"/>
          <w:szCs w:val="20"/>
        </w:rPr>
        <w:t xml:space="preserve">, followed by portal vein cannulation. Livers were perfused with 400 mL of HEPES buffer (10 mM HEPES, 137 mM </w:t>
      </w:r>
      <w:proofErr w:type="spellStart"/>
      <w:r w:rsidRPr="00292A06">
        <w:rPr>
          <w:rFonts w:ascii="Palatino Linotype" w:hAnsi="Palatino Linotype" w:cstheme="minorHAnsi"/>
          <w:sz w:val="20"/>
          <w:szCs w:val="20"/>
        </w:rPr>
        <w:t>NaCl</w:t>
      </w:r>
      <w:proofErr w:type="spellEnd"/>
      <w:r w:rsidRPr="00292A06">
        <w:rPr>
          <w:rFonts w:ascii="Palatino Linotype" w:hAnsi="Palatino Linotype" w:cstheme="minorHAnsi"/>
          <w:sz w:val="20"/>
          <w:szCs w:val="20"/>
        </w:rPr>
        <w:t xml:space="preserve">, 3.5 mM </w:t>
      </w:r>
      <w:proofErr w:type="spellStart"/>
      <w:r w:rsidRPr="00292A06">
        <w:rPr>
          <w:rFonts w:ascii="Palatino Linotype" w:hAnsi="Palatino Linotype" w:cstheme="minorHAnsi"/>
          <w:sz w:val="20"/>
          <w:szCs w:val="20"/>
        </w:rPr>
        <w:t>KCl</w:t>
      </w:r>
      <w:proofErr w:type="spellEnd"/>
      <w:r w:rsidRPr="00292A06">
        <w:rPr>
          <w:rFonts w:ascii="Palatino Linotype" w:hAnsi="Palatino Linotype" w:cstheme="minorHAnsi"/>
          <w:sz w:val="20"/>
          <w:szCs w:val="20"/>
        </w:rPr>
        <w:t>, 0.7 mM Na</w:t>
      </w:r>
      <w:r w:rsidRPr="00292A06">
        <w:rPr>
          <w:rFonts w:ascii="Palatino Linotype" w:hAnsi="Palatino Linotype" w:cstheme="minorHAnsi"/>
          <w:sz w:val="20"/>
          <w:szCs w:val="20"/>
          <w:vertAlign w:val="subscript"/>
        </w:rPr>
        <w:t>2</w:t>
      </w:r>
      <w:r w:rsidRPr="00292A06">
        <w:rPr>
          <w:rFonts w:ascii="Palatino Linotype" w:hAnsi="Palatino Linotype" w:cstheme="minorHAnsi"/>
          <w:sz w:val="20"/>
          <w:szCs w:val="20"/>
        </w:rPr>
        <w:t>HPO</w:t>
      </w:r>
      <w:r w:rsidRPr="00292A06">
        <w:rPr>
          <w:rFonts w:ascii="Palatino Linotype" w:hAnsi="Palatino Linotype" w:cstheme="minorHAnsi"/>
          <w:sz w:val="20"/>
          <w:szCs w:val="20"/>
          <w:vertAlign w:val="subscript"/>
        </w:rPr>
        <w:t>4</w:t>
      </w:r>
      <w:r w:rsidRPr="00292A06">
        <w:rPr>
          <w:rFonts w:ascii="Palatino Linotype" w:hAnsi="Palatino Linotype" w:cstheme="minorHAnsi"/>
          <w:sz w:val="20"/>
          <w:szCs w:val="20"/>
        </w:rPr>
        <w:t>; pH 7.0-7.4; 37°C) followed by 300~400 mL of HEPES buffer containing 0.18 mg/mL collagenase A and 0.22 mg/mL CaCl</w:t>
      </w:r>
      <w:r w:rsidRPr="00292A06">
        <w:rPr>
          <w:rFonts w:ascii="Palatino Linotype" w:hAnsi="Palatino Linotype" w:cstheme="minorHAnsi"/>
          <w:sz w:val="20"/>
          <w:szCs w:val="20"/>
          <w:vertAlign w:val="subscript"/>
        </w:rPr>
        <w:t>2</w:t>
      </w:r>
      <w:r w:rsidRPr="00292A06">
        <w:rPr>
          <w:rFonts w:ascii="Palatino Linotype" w:hAnsi="Palatino Linotype" w:cstheme="minorHAnsi"/>
          <w:sz w:val="20"/>
          <w:szCs w:val="20"/>
        </w:rPr>
        <w:t xml:space="preserve">, using a peristaltic pump (Harvard Apparatus, MA, USA) with a flow rate set at 44 mL/min. The perfused liver was then excised, each lobe was incised, and the hepatocytes were released and suspended into warm HEPES buffer. The cells were then filtered with a 250 </w:t>
      </w:r>
      <w:proofErr w:type="spellStart"/>
      <w:r w:rsidRPr="00292A06">
        <w:rPr>
          <w:rFonts w:ascii="Palatino Linotype" w:hAnsi="Palatino Linotype" w:cstheme="minorHAnsi"/>
          <w:sz w:val="20"/>
          <w:szCs w:val="20"/>
        </w:rPr>
        <w:t>μm</w:t>
      </w:r>
      <w:proofErr w:type="spellEnd"/>
      <w:r w:rsidRPr="00292A06">
        <w:rPr>
          <w:rFonts w:ascii="Palatino Linotype" w:hAnsi="Palatino Linotype" w:cstheme="minorHAnsi"/>
          <w:sz w:val="20"/>
          <w:szCs w:val="20"/>
        </w:rPr>
        <w:t xml:space="preserve"> mesh, washed with HEPES buffer and filtered again through a 100 </w:t>
      </w:r>
      <w:proofErr w:type="spellStart"/>
      <w:r w:rsidRPr="00292A06">
        <w:rPr>
          <w:rFonts w:ascii="Palatino Linotype" w:hAnsi="Palatino Linotype" w:cstheme="minorHAnsi"/>
          <w:sz w:val="20"/>
          <w:szCs w:val="20"/>
        </w:rPr>
        <w:t>μm</w:t>
      </w:r>
      <w:proofErr w:type="spellEnd"/>
      <w:r w:rsidRPr="00292A06">
        <w:rPr>
          <w:rFonts w:ascii="Palatino Linotype" w:hAnsi="Palatino Linotype" w:cstheme="minorHAnsi"/>
          <w:sz w:val="20"/>
          <w:szCs w:val="20"/>
        </w:rPr>
        <w:t xml:space="preserve"> mesh. Trypan blue staining indicated that the cell viability was 70% or higher. Cells were seeded at a density of 1.2 x 10</w:t>
      </w:r>
      <w:r w:rsidRPr="00292A06">
        <w:rPr>
          <w:rFonts w:ascii="Palatino Linotype" w:hAnsi="Palatino Linotype" w:cstheme="minorHAnsi"/>
          <w:sz w:val="20"/>
          <w:szCs w:val="20"/>
          <w:vertAlign w:val="superscript"/>
        </w:rPr>
        <w:t>6</w:t>
      </w:r>
      <w:r w:rsidRPr="00292A06">
        <w:rPr>
          <w:rFonts w:ascii="Palatino Linotype" w:hAnsi="Palatino Linotype" w:cstheme="minorHAnsi"/>
          <w:sz w:val="20"/>
          <w:szCs w:val="20"/>
        </w:rPr>
        <w:t xml:space="preserve"> cells per well in 6-well culture plates in M199 media containing 5000 U penicillin/streptomycin, 0.1% BSA, 2% </w:t>
      </w:r>
      <w:proofErr w:type="spellStart"/>
      <w:r w:rsidRPr="00292A06">
        <w:rPr>
          <w:rFonts w:ascii="Palatino Linotype" w:hAnsi="Palatino Linotype" w:cstheme="minorHAnsi"/>
          <w:sz w:val="20"/>
          <w:szCs w:val="20"/>
        </w:rPr>
        <w:t>Ultroser</w:t>
      </w:r>
      <w:r w:rsidRPr="00292A06">
        <w:rPr>
          <w:rFonts w:ascii="Palatino Linotype" w:hAnsi="Palatino Linotype" w:cstheme="minorHAnsi"/>
          <w:sz w:val="20"/>
          <w:szCs w:val="20"/>
          <w:vertAlign w:val="superscript"/>
        </w:rPr>
        <w:t>TM</w:t>
      </w:r>
      <w:proofErr w:type="spellEnd"/>
      <w:r w:rsidRPr="00292A06">
        <w:rPr>
          <w:rFonts w:ascii="Palatino Linotype" w:hAnsi="Palatino Linotype" w:cstheme="minorHAnsi"/>
          <w:sz w:val="20"/>
          <w:szCs w:val="20"/>
        </w:rPr>
        <w:t xml:space="preserve"> G serum substitute, 100 </w:t>
      </w:r>
      <w:proofErr w:type="spellStart"/>
      <w:r w:rsidRPr="00292A06">
        <w:rPr>
          <w:rFonts w:ascii="Palatino Linotype" w:hAnsi="Palatino Linotype" w:cstheme="minorHAnsi"/>
          <w:sz w:val="20"/>
          <w:szCs w:val="20"/>
        </w:rPr>
        <w:t>nM</w:t>
      </w:r>
      <w:proofErr w:type="spellEnd"/>
      <w:r w:rsidRPr="00292A06">
        <w:rPr>
          <w:rFonts w:ascii="Palatino Linotype" w:hAnsi="Palatino Linotype" w:cstheme="minorHAnsi"/>
          <w:sz w:val="20"/>
          <w:szCs w:val="20"/>
        </w:rPr>
        <w:t xml:space="preserve"> dexamethasone, 100 </w:t>
      </w:r>
      <w:proofErr w:type="spellStart"/>
      <w:r w:rsidRPr="00292A06">
        <w:rPr>
          <w:rFonts w:ascii="Palatino Linotype" w:hAnsi="Palatino Linotype" w:cstheme="minorHAnsi"/>
          <w:sz w:val="20"/>
          <w:szCs w:val="20"/>
        </w:rPr>
        <w:t>nM</w:t>
      </w:r>
      <w:proofErr w:type="spellEnd"/>
      <w:r w:rsidRPr="00292A06">
        <w:rPr>
          <w:rFonts w:ascii="Palatino Linotype" w:hAnsi="Palatino Linotype" w:cstheme="minorHAnsi"/>
          <w:sz w:val="20"/>
          <w:szCs w:val="20"/>
        </w:rPr>
        <w:t xml:space="preserve"> </w:t>
      </w:r>
      <w:proofErr w:type="spellStart"/>
      <w:r w:rsidRPr="00292A06">
        <w:rPr>
          <w:rFonts w:ascii="Palatino Linotype" w:hAnsi="Palatino Linotype" w:cstheme="minorHAnsi"/>
          <w:sz w:val="20"/>
          <w:szCs w:val="20"/>
        </w:rPr>
        <w:t>thyrodoxin</w:t>
      </w:r>
      <w:proofErr w:type="spellEnd"/>
      <w:r w:rsidRPr="00292A06">
        <w:rPr>
          <w:rFonts w:ascii="Palatino Linotype" w:hAnsi="Palatino Linotype" w:cstheme="minorHAnsi"/>
          <w:sz w:val="20"/>
          <w:szCs w:val="20"/>
        </w:rPr>
        <w:t xml:space="preserve"> and 1 </w:t>
      </w:r>
      <w:proofErr w:type="spellStart"/>
      <w:r w:rsidRPr="00292A06">
        <w:rPr>
          <w:rFonts w:ascii="Palatino Linotype" w:hAnsi="Palatino Linotype" w:cstheme="minorHAnsi"/>
          <w:sz w:val="20"/>
          <w:szCs w:val="20"/>
        </w:rPr>
        <w:t>nM</w:t>
      </w:r>
      <w:proofErr w:type="spellEnd"/>
      <w:r w:rsidRPr="00292A06">
        <w:rPr>
          <w:rFonts w:ascii="Palatino Linotype" w:hAnsi="Palatino Linotype" w:cstheme="minorHAnsi"/>
          <w:sz w:val="20"/>
          <w:szCs w:val="20"/>
        </w:rPr>
        <w:t xml:space="preserve"> insulin. After 3-5 hours of plating, the media was replaced with M199 containing 5000 U penicillin/streptomycin and 100 </w:t>
      </w:r>
      <w:proofErr w:type="spellStart"/>
      <w:r w:rsidRPr="00292A06">
        <w:rPr>
          <w:rFonts w:ascii="Palatino Linotype" w:hAnsi="Palatino Linotype" w:cstheme="minorHAnsi"/>
          <w:sz w:val="20"/>
          <w:szCs w:val="20"/>
        </w:rPr>
        <w:t>nM</w:t>
      </w:r>
      <w:proofErr w:type="spellEnd"/>
      <w:r w:rsidRPr="00292A06">
        <w:rPr>
          <w:rFonts w:ascii="Palatino Linotype" w:hAnsi="Palatino Linotype" w:cstheme="minorHAnsi"/>
          <w:sz w:val="20"/>
          <w:szCs w:val="20"/>
        </w:rPr>
        <w:t xml:space="preserve"> dexamethasone and incubated overnight (37°C) before the hepatocytes were ready for experiments.</w:t>
      </w:r>
    </w:p>
    <w:p w14:paraId="77F1DC72" w14:textId="77777777" w:rsidR="00097FF9" w:rsidRPr="00292A06" w:rsidRDefault="00097FF9" w:rsidP="004B775F">
      <w:pPr>
        <w:pStyle w:val="Default"/>
        <w:spacing w:afterLines="50" w:after="120"/>
        <w:rPr>
          <w:rFonts w:ascii="Palatino Linotype" w:hAnsi="Palatino Linotype" w:cstheme="minorHAnsi"/>
          <w:sz w:val="20"/>
          <w:szCs w:val="20"/>
        </w:rPr>
      </w:pPr>
    </w:p>
    <w:p w14:paraId="76CCA64D" w14:textId="30C81F6A" w:rsidR="004B775F" w:rsidRPr="00292A06" w:rsidRDefault="004B775F" w:rsidP="004B775F">
      <w:pPr>
        <w:pStyle w:val="Default"/>
        <w:spacing w:afterLines="50" w:after="120"/>
        <w:rPr>
          <w:rFonts w:ascii="Palatino Linotype" w:hAnsi="Palatino Linotype" w:cstheme="minorHAnsi"/>
          <w:i/>
          <w:iCs/>
          <w:sz w:val="20"/>
          <w:szCs w:val="20"/>
        </w:rPr>
      </w:pPr>
      <w:r w:rsidRPr="00292A06">
        <w:rPr>
          <w:rFonts w:ascii="Palatino Linotype" w:hAnsi="Palatino Linotype" w:cstheme="minorHAnsi"/>
          <w:i/>
          <w:iCs/>
          <w:sz w:val="20"/>
          <w:szCs w:val="20"/>
        </w:rPr>
        <w:t>Preparation of Fatty acid-BCA Conjugation</w:t>
      </w:r>
    </w:p>
    <w:p w14:paraId="613CFBA1" w14:textId="29E91340" w:rsidR="005D3DC5" w:rsidRPr="00292A06" w:rsidRDefault="004B775F" w:rsidP="004B775F">
      <w:pPr>
        <w:spacing w:afterLines="50" w:after="120"/>
        <w:rPr>
          <w:rFonts w:ascii="Palatino Linotype" w:hAnsi="Palatino Linotype" w:cstheme="minorHAnsi"/>
          <w:sz w:val="20"/>
          <w:szCs w:val="20"/>
        </w:rPr>
      </w:pPr>
      <w:r w:rsidRPr="00292A06">
        <w:rPr>
          <w:rFonts w:ascii="Palatino Linotype" w:hAnsi="Palatino Linotype" w:cstheme="minorHAnsi"/>
          <w:sz w:val="20"/>
          <w:szCs w:val="20"/>
        </w:rPr>
        <w:t xml:space="preserve">100 mM of palmitic acid and oleic acid stock solutions were prepared in 0.1 N NaOH by heating to 70°C, to ensure complete solubilisation, prior to filtration with 0.22 </w:t>
      </w:r>
      <w:proofErr w:type="spellStart"/>
      <w:r w:rsidRPr="00292A06">
        <w:rPr>
          <w:rFonts w:ascii="Palatino Linotype" w:hAnsi="Palatino Linotype" w:cstheme="minorHAnsi"/>
          <w:sz w:val="20"/>
          <w:szCs w:val="20"/>
        </w:rPr>
        <w:t>μm</w:t>
      </w:r>
      <w:proofErr w:type="spellEnd"/>
      <w:r w:rsidRPr="00292A06">
        <w:rPr>
          <w:rFonts w:ascii="Palatino Linotype" w:hAnsi="Palatino Linotype" w:cstheme="minorHAnsi"/>
          <w:sz w:val="20"/>
          <w:szCs w:val="20"/>
        </w:rPr>
        <w:t xml:space="preserve"> syringe filters. 100 mM palmitic acid, oleic acid, or the 1:2 mixture of the two prepared with the above FFA stock solutions was slowly dripped into 13.6% 0.22 </w:t>
      </w:r>
      <w:proofErr w:type="spellStart"/>
      <w:r w:rsidRPr="00292A06">
        <w:rPr>
          <w:rFonts w:ascii="Palatino Linotype" w:hAnsi="Palatino Linotype" w:cstheme="minorHAnsi"/>
          <w:sz w:val="20"/>
          <w:szCs w:val="20"/>
        </w:rPr>
        <w:t>μm</w:t>
      </w:r>
      <w:proofErr w:type="spellEnd"/>
      <w:r w:rsidRPr="00292A06">
        <w:rPr>
          <w:rFonts w:ascii="Palatino Linotype" w:hAnsi="Palatino Linotype" w:cstheme="minorHAnsi"/>
          <w:sz w:val="20"/>
          <w:szCs w:val="20"/>
        </w:rPr>
        <w:t xml:space="preserve">-syringe-filtered, </w:t>
      </w:r>
      <w:proofErr w:type="spellStart"/>
      <w:r w:rsidRPr="00292A06">
        <w:rPr>
          <w:rFonts w:ascii="Palatino Linotype" w:hAnsi="Palatino Linotype" w:cstheme="minorHAnsi"/>
          <w:sz w:val="20"/>
          <w:szCs w:val="20"/>
        </w:rPr>
        <w:t>delipidated</w:t>
      </w:r>
      <w:proofErr w:type="spellEnd"/>
      <w:r w:rsidRPr="00292A06">
        <w:rPr>
          <w:rFonts w:ascii="Palatino Linotype" w:hAnsi="Palatino Linotype" w:cstheme="minorHAnsi"/>
          <w:sz w:val="20"/>
          <w:szCs w:val="20"/>
        </w:rPr>
        <w:t xml:space="preserve"> bovine serum albumin (BSA) solution under constant shaking. To allow full complex formation, the solution was then incubated in a 60°C</w:t>
      </w:r>
      <w:r w:rsidRPr="00292A06">
        <w:rPr>
          <w:rFonts w:ascii="Palatino Linotype" w:hAnsi="Palatino Linotype" w:cstheme="minorHAnsi"/>
          <w:b/>
          <w:bCs/>
          <w:sz w:val="20"/>
          <w:szCs w:val="20"/>
        </w:rPr>
        <w:t xml:space="preserve"> </w:t>
      </w:r>
      <w:r w:rsidRPr="00292A06">
        <w:rPr>
          <w:rFonts w:ascii="Palatino Linotype" w:hAnsi="Palatino Linotype" w:cstheme="minorHAnsi"/>
          <w:sz w:val="20"/>
          <w:szCs w:val="20"/>
        </w:rPr>
        <w:t>water bath for 1 hour, which gave us BSA-FFA complex solution containing 12 mM FFA and 12 % BSA. To prepare BSA-FFA complex solution with lower concentrations, we simply diluted the BSA-FFA solution with a 12% BSA solution. Before cell treatment, the FFA-BSA complex solution with a free fatty acid concentration 6 times of the desired final concentration was mixed with culture media in 1:5 ratio. The final concentrations of media free fatty acid and BSA were 0.67-2.00 mM (depending on the experiment) and 2%, respectively. Media for the control group was similarly prepared by mixing pure culture media with 12% BSA solution containing the same amount of 0.1 N NaOH, but without FFA.</w:t>
      </w:r>
    </w:p>
    <w:p w14:paraId="4B2FF5BE" w14:textId="77777777" w:rsidR="005D3DC5" w:rsidRPr="00292A06" w:rsidRDefault="005D3DC5" w:rsidP="005D3DC5">
      <w:pPr>
        <w:widowControl/>
        <w:spacing w:after="160" w:line="259" w:lineRule="auto"/>
        <w:rPr>
          <w:rFonts w:ascii="Palatino Linotype" w:hAnsi="Palatino Linotype" w:cstheme="minorHAnsi"/>
          <w:sz w:val="20"/>
          <w:szCs w:val="20"/>
        </w:rPr>
      </w:pPr>
    </w:p>
    <w:p w14:paraId="45A3548D" w14:textId="77777777" w:rsidR="00C649FC" w:rsidRPr="00292A06" w:rsidRDefault="00C649FC" w:rsidP="005D3DC5">
      <w:pPr>
        <w:widowControl/>
        <w:spacing w:after="160" w:line="259" w:lineRule="auto"/>
        <w:rPr>
          <w:rFonts w:ascii="Palatino Linotype" w:hAnsi="Palatino Linotype" w:cstheme="minorHAnsi"/>
          <w:b/>
          <w:bCs/>
          <w:sz w:val="20"/>
          <w:szCs w:val="20"/>
        </w:rPr>
      </w:pPr>
    </w:p>
    <w:p w14:paraId="0869E32D" w14:textId="25EF8A4E" w:rsidR="004B775F" w:rsidRPr="00292A06" w:rsidRDefault="005D3DC5" w:rsidP="005D3DC5">
      <w:pPr>
        <w:widowControl/>
        <w:spacing w:after="160" w:line="259" w:lineRule="auto"/>
        <w:rPr>
          <w:rFonts w:ascii="Palatino Linotype" w:hAnsi="Palatino Linotype" w:cstheme="minorHAnsi"/>
          <w:b/>
          <w:bCs/>
          <w:sz w:val="20"/>
          <w:szCs w:val="20"/>
        </w:rPr>
      </w:pPr>
      <w:r w:rsidRPr="00292A06">
        <w:rPr>
          <w:rFonts w:ascii="Palatino Linotype" w:hAnsi="Palatino Linotype" w:cstheme="minorHAnsi"/>
          <w:b/>
          <w:bCs/>
          <w:sz w:val="20"/>
          <w:szCs w:val="20"/>
        </w:rPr>
        <w:t>Supplementary Figures</w:t>
      </w:r>
    </w:p>
    <w:p w14:paraId="38CCED22" w14:textId="77777777" w:rsidR="004B775F" w:rsidRPr="00292A06" w:rsidRDefault="004B775F">
      <w:pPr>
        <w:widowControl/>
        <w:spacing w:after="160" w:line="259" w:lineRule="auto"/>
        <w:rPr>
          <w:rFonts w:ascii="Palatino Linotype" w:hAnsi="Palatino Linotype"/>
          <w:b/>
          <w:bCs/>
          <w:sz w:val="20"/>
          <w:szCs w:val="20"/>
          <w:lang w:val="en-US"/>
        </w:rPr>
      </w:pPr>
      <w:r w:rsidRPr="00292A06">
        <w:rPr>
          <w:rFonts w:ascii="Palatino Linotype" w:hAnsi="Palatino Linotype"/>
          <w:b/>
          <w:bCs/>
          <w:sz w:val="20"/>
          <w:szCs w:val="20"/>
          <w:lang w:val="en-US"/>
        </w:rPr>
        <w:br w:type="page"/>
      </w:r>
      <w:bookmarkStart w:id="0" w:name="_GoBack"/>
      <w:bookmarkEnd w:id="0"/>
    </w:p>
    <w:p w14:paraId="3D15EDDB" w14:textId="7967D00B" w:rsidR="005E33F2" w:rsidRPr="00292A06" w:rsidRDefault="00104C9E" w:rsidP="005E33F2">
      <w:pPr>
        <w:rPr>
          <w:rFonts w:ascii="Palatino Linotype" w:hAnsi="Palatino Linotype"/>
          <w:b/>
          <w:bCs/>
          <w:sz w:val="20"/>
          <w:szCs w:val="20"/>
        </w:rPr>
      </w:pPr>
      <w:r>
        <w:rPr>
          <w:rFonts w:ascii="Palatino Linotype" w:hAnsi="Palatino Linotype"/>
          <w:noProof/>
          <w:sz w:val="20"/>
          <w:szCs w:val="20"/>
          <w:lang w:eastAsia="en-AU"/>
        </w:rPr>
        <w:lastRenderedPageBreak/>
        <w:drawing>
          <wp:anchor distT="0" distB="0" distL="114300" distR="114300" simplePos="0" relativeHeight="251667456" behindDoc="0" locked="0" layoutInCell="1" allowOverlap="1" wp14:anchorId="21FF1DDA" wp14:editId="223E04E6">
            <wp:simplePos x="0" y="0"/>
            <wp:positionH relativeFrom="column">
              <wp:posOffset>0</wp:posOffset>
            </wp:positionH>
            <wp:positionV relativeFrom="paragraph">
              <wp:posOffset>0</wp:posOffset>
            </wp:positionV>
            <wp:extent cx="2520000" cy="6703200"/>
            <wp:effectExtent l="0" t="0" r="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000" cy="6703200"/>
                    </a:xfrm>
                    <a:prstGeom prst="rect">
                      <a:avLst/>
                    </a:prstGeom>
                    <a:noFill/>
                    <a:ln>
                      <a:noFill/>
                    </a:ln>
                  </pic:spPr>
                </pic:pic>
              </a:graphicData>
            </a:graphic>
          </wp:anchor>
        </w:drawing>
      </w:r>
      <w:r w:rsidR="00644456" w:rsidRPr="00292A06">
        <w:rPr>
          <w:rFonts w:ascii="Palatino Linotype" w:hAnsi="Palatino Linotype"/>
          <w:b/>
          <w:bCs/>
          <w:sz w:val="20"/>
          <w:szCs w:val="20"/>
        </w:rPr>
        <w:t xml:space="preserve">Supplementary </w:t>
      </w:r>
      <w:r w:rsidR="005E33F2" w:rsidRPr="00292A06">
        <w:rPr>
          <w:rFonts w:ascii="Palatino Linotype" w:hAnsi="Palatino Linotype"/>
          <w:b/>
          <w:bCs/>
          <w:sz w:val="20"/>
          <w:szCs w:val="20"/>
        </w:rPr>
        <w:t>Figure 1. Differential effects of palmitic acid, oleic acid, and a 1:2 mixture (</w:t>
      </w:r>
      <w:r w:rsidR="00641C80">
        <w:rPr>
          <w:rFonts w:ascii="Palatino Linotype" w:hAnsi="Palatino Linotype"/>
          <w:b/>
          <w:bCs/>
          <w:sz w:val="20"/>
          <w:szCs w:val="20"/>
        </w:rPr>
        <w:t>M</w:t>
      </w:r>
      <w:r w:rsidR="005E33F2" w:rsidRPr="00292A06">
        <w:rPr>
          <w:rFonts w:ascii="Palatino Linotype" w:hAnsi="Palatino Linotype"/>
          <w:b/>
          <w:bCs/>
          <w:sz w:val="20"/>
          <w:szCs w:val="20"/>
        </w:rPr>
        <w:t>FFA) on hepatocyte phospholipid and phosphatidylcholine to phosphatidylethanolamine ratio</w:t>
      </w:r>
    </w:p>
    <w:p w14:paraId="0D52CDD8" w14:textId="4A4A0AC6" w:rsidR="005E33F2" w:rsidRPr="00292A06" w:rsidRDefault="005E33F2" w:rsidP="005E33F2">
      <w:pPr>
        <w:rPr>
          <w:rFonts w:ascii="Palatino Linotype" w:hAnsi="Palatino Linotype"/>
          <w:sz w:val="20"/>
          <w:szCs w:val="20"/>
        </w:rPr>
      </w:pPr>
      <w:r w:rsidRPr="00292A06">
        <w:rPr>
          <w:rFonts w:ascii="Palatino Linotype" w:hAnsi="Palatino Linotype"/>
          <w:sz w:val="20"/>
          <w:szCs w:val="20"/>
        </w:rPr>
        <w:t>Isolated rat hepatocytes were treated with palmitic acid (0.67 or 2 mM), oleic acid (1.33 or 2 mM) or 1:2 mixture of the aforementioned fatty acids (</w:t>
      </w:r>
      <w:r w:rsidR="00641C80">
        <w:rPr>
          <w:rFonts w:ascii="Palatino Linotype" w:hAnsi="Palatino Linotype"/>
          <w:sz w:val="20"/>
          <w:szCs w:val="20"/>
        </w:rPr>
        <w:t>M</w:t>
      </w:r>
      <w:r w:rsidRPr="00292A06">
        <w:rPr>
          <w:rFonts w:ascii="Palatino Linotype" w:hAnsi="Palatino Linotype"/>
          <w:sz w:val="20"/>
          <w:szCs w:val="20"/>
        </w:rPr>
        <w:t>FFA, 2 mM) for 24 hours. Phosphatidylcholine and phosphatidylethanolamine contents (nmol/mg protein) in cellular extracts were determined by LC-MS lipidomic analysis, and the phosphatidylcholine to phosphatidylethanolamine ratio (PC/PE) was calculated accordingly. Control group (Ctrl) are hepatocytes cultured under the same condition for 24 hours,</w:t>
      </w:r>
      <w:r w:rsidR="008131C4">
        <w:rPr>
          <w:rFonts w:ascii="Palatino Linotype" w:hAnsi="Palatino Linotype"/>
          <w:sz w:val="20"/>
          <w:szCs w:val="20"/>
        </w:rPr>
        <w:t xml:space="preserve"> but</w:t>
      </w:r>
      <w:r w:rsidRPr="00292A06">
        <w:rPr>
          <w:rFonts w:ascii="Palatino Linotype" w:hAnsi="Palatino Linotype"/>
          <w:sz w:val="20"/>
          <w:szCs w:val="20"/>
        </w:rPr>
        <w:t xml:space="preserve"> without the addition of fatty acid. Data shown as mean ± </w:t>
      </w:r>
      <w:proofErr w:type="spellStart"/>
      <w:r w:rsidRPr="00292A06">
        <w:rPr>
          <w:rFonts w:ascii="Palatino Linotype" w:hAnsi="Palatino Linotype"/>
          <w:sz w:val="20"/>
          <w:szCs w:val="20"/>
        </w:rPr>
        <w:t>sem</w:t>
      </w:r>
      <w:proofErr w:type="spellEnd"/>
      <w:r w:rsidRPr="00292A06">
        <w:rPr>
          <w:rFonts w:ascii="Palatino Linotype" w:hAnsi="Palatino Linotype"/>
          <w:sz w:val="20"/>
          <w:szCs w:val="20"/>
        </w:rPr>
        <w:t xml:space="preserve">; a: </w:t>
      </w:r>
      <w:r w:rsidRPr="00292A06">
        <w:rPr>
          <w:rFonts w:ascii="Palatino Linotype" w:hAnsi="Palatino Linotype"/>
          <w:i/>
          <w:iCs/>
          <w:sz w:val="20"/>
          <w:szCs w:val="20"/>
        </w:rPr>
        <w:t>p&lt;0.05</w:t>
      </w:r>
      <w:r w:rsidRPr="00292A06">
        <w:rPr>
          <w:rFonts w:ascii="Palatino Linotype" w:hAnsi="Palatino Linotype"/>
          <w:sz w:val="20"/>
          <w:szCs w:val="20"/>
        </w:rPr>
        <w:t xml:space="preserve"> vs Ctrl group, as determined by Mann-Whitney U test; n=3 for Ctrl, </w:t>
      </w:r>
      <w:r w:rsidR="00641C80">
        <w:rPr>
          <w:rFonts w:ascii="Palatino Linotype" w:hAnsi="Palatino Linotype"/>
          <w:sz w:val="20"/>
          <w:szCs w:val="20"/>
        </w:rPr>
        <w:t>M</w:t>
      </w:r>
      <w:r w:rsidRPr="00292A06">
        <w:rPr>
          <w:rFonts w:ascii="Palatino Linotype" w:hAnsi="Palatino Linotype"/>
          <w:sz w:val="20"/>
          <w:szCs w:val="20"/>
        </w:rPr>
        <w:t>FFA (2 mM), oleic acid (2 mM) and palmitic acid (2 mM); n=2 for oleic acid (1.33 mM) and palmitic acid (0.67 mM).</w:t>
      </w:r>
    </w:p>
    <w:p w14:paraId="5AC8D058" w14:textId="3BA3C6B9" w:rsidR="005E33F2" w:rsidRPr="00292A06" w:rsidRDefault="005E33F2">
      <w:pPr>
        <w:widowControl/>
        <w:spacing w:after="160" w:line="259" w:lineRule="auto"/>
        <w:rPr>
          <w:rFonts w:ascii="Palatino Linotype" w:hAnsi="Palatino Linotype"/>
          <w:sz w:val="20"/>
          <w:szCs w:val="20"/>
        </w:rPr>
      </w:pPr>
      <w:r w:rsidRPr="00292A06">
        <w:rPr>
          <w:rFonts w:ascii="Palatino Linotype" w:hAnsi="Palatino Linotype"/>
          <w:sz w:val="20"/>
          <w:szCs w:val="20"/>
        </w:rPr>
        <w:br w:type="page"/>
      </w:r>
    </w:p>
    <w:p w14:paraId="382AC91E" w14:textId="2A1F5236" w:rsidR="00FF1840" w:rsidRPr="00292A06" w:rsidRDefault="00104C9E" w:rsidP="00FF1840">
      <w:pPr>
        <w:rPr>
          <w:rFonts w:ascii="Palatino Linotype" w:hAnsi="Palatino Linotype"/>
          <w:sz w:val="20"/>
          <w:szCs w:val="20"/>
        </w:rPr>
      </w:pPr>
      <w:r>
        <w:rPr>
          <w:rFonts w:ascii="Palatino Linotype" w:hAnsi="Palatino Linotype"/>
          <w:noProof/>
          <w:sz w:val="20"/>
          <w:szCs w:val="20"/>
          <w:lang w:eastAsia="en-AU"/>
        </w:rPr>
        <w:lastRenderedPageBreak/>
        <w:drawing>
          <wp:anchor distT="0" distB="0" distL="114300" distR="114300" simplePos="0" relativeHeight="251666432" behindDoc="1" locked="0" layoutInCell="1" allowOverlap="1" wp14:anchorId="7A988AE2" wp14:editId="26B8EE02">
            <wp:simplePos x="0" y="0"/>
            <wp:positionH relativeFrom="margin">
              <wp:align>left</wp:align>
            </wp:positionH>
            <wp:positionV relativeFrom="paragraph">
              <wp:posOffset>0</wp:posOffset>
            </wp:positionV>
            <wp:extent cx="2520000" cy="6721200"/>
            <wp:effectExtent l="0" t="0" r="0" b="3810"/>
            <wp:wrapTight wrapText="bothSides">
              <wp:wrapPolygon edited="0">
                <wp:start x="0" y="0"/>
                <wp:lineTo x="0" y="21551"/>
                <wp:lineTo x="21393" y="21551"/>
                <wp:lineTo x="2139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000" cy="672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7256EB" w14:textId="273B791D" w:rsidR="00FF1840" w:rsidRPr="00292A06" w:rsidRDefault="00FF1840" w:rsidP="00FF1840">
      <w:pPr>
        <w:rPr>
          <w:rFonts w:ascii="Palatino Linotype" w:hAnsi="Palatino Linotype"/>
          <w:b/>
          <w:bCs/>
          <w:sz w:val="20"/>
          <w:szCs w:val="20"/>
        </w:rPr>
      </w:pPr>
      <w:r w:rsidRPr="00292A06">
        <w:rPr>
          <w:rFonts w:ascii="Palatino Linotype" w:hAnsi="Palatino Linotype"/>
          <w:b/>
          <w:bCs/>
          <w:sz w:val="20"/>
          <w:szCs w:val="20"/>
        </w:rPr>
        <w:t xml:space="preserve">Supplementary Figure </w:t>
      </w:r>
      <w:r w:rsidR="00644456" w:rsidRPr="00292A06">
        <w:rPr>
          <w:rFonts w:ascii="Palatino Linotype" w:hAnsi="Palatino Linotype"/>
          <w:b/>
          <w:bCs/>
          <w:sz w:val="20"/>
          <w:szCs w:val="20"/>
        </w:rPr>
        <w:t>2</w:t>
      </w:r>
      <w:r w:rsidRPr="00292A06">
        <w:rPr>
          <w:rFonts w:ascii="Palatino Linotype" w:hAnsi="Palatino Linotype"/>
          <w:b/>
          <w:bCs/>
          <w:sz w:val="20"/>
          <w:szCs w:val="20"/>
        </w:rPr>
        <w:t>. The secretion profile of hepatocyte phospholipid and phosphatidylcholine to phosphatidylethanolamine ratio in response to fatty acid treatment</w:t>
      </w:r>
    </w:p>
    <w:p w14:paraId="297D6491" w14:textId="2DFCEC33" w:rsidR="00FF1840" w:rsidRPr="00292A06" w:rsidRDefault="00FF1840" w:rsidP="00FF1840">
      <w:pPr>
        <w:rPr>
          <w:rFonts w:ascii="Palatino Linotype" w:hAnsi="Palatino Linotype"/>
          <w:sz w:val="20"/>
          <w:szCs w:val="20"/>
        </w:rPr>
      </w:pPr>
      <w:r w:rsidRPr="00292A06">
        <w:rPr>
          <w:rFonts w:ascii="Palatino Linotype" w:hAnsi="Palatino Linotype"/>
          <w:sz w:val="20"/>
          <w:szCs w:val="20"/>
        </w:rPr>
        <w:t xml:space="preserve">Cellular culture media were collected from experiments described in Figure </w:t>
      </w:r>
      <w:r w:rsidR="00F85A3D" w:rsidRPr="00292A06">
        <w:rPr>
          <w:rFonts w:ascii="Palatino Linotype" w:hAnsi="Palatino Linotype"/>
          <w:sz w:val="20"/>
          <w:szCs w:val="20"/>
        </w:rPr>
        <w:t>2</w:t>
      </w:r>
      <w:r w:rsidRPr="00292A06">
        <w:rPr>
          <w:rFonts w:ascii="Palatino Linotype" w:hAnsi="Palatino Linotype"/>
          <w:sz w:val="20"/>
          <w:szCs w:val="20"/>
        </w:rPr>
        <w:t xml:space="preserve"> at the chosen time points and media phosphatidylcholine and phosphatidylethanolamine concentrations (in nmol/ml media) were extracted and determined by LC-MS (A and B). phosphatidylcholine to phosphatidylethanolamine ratio (PC/PE) was calculated accordingly (C). Data shown as mean ± </w:t>
      </w:r>
      <w:proofErr w:type="spellStart"/>
      <w:r w:rsidRPr="00292A06">
        <w:rPr>
          <w:rFonts w:ascii="Palatino Linotype" w:hAnsi="Palatino Linotype"/>
          <w:sz w:val="20"/>
          <w:szCs w:val="20"/>
        </w:rPr>
        <w:t>sem</w:t>
      </w:r>
      <w:proofErr w:type="spellEnd"/>
      <w:r w:rsidRPr="00292A06">
        <w:rPr>
          <w:rFonts w:ascii="Palatino Linotype" w:hAnsi="Palatino Linotype"/>
          <w:sz w:val="20"/>
          <w:szCs w:val="20"/>
        </w:rPr>
        <w:t xml:space="preserve">; a: </w:t>
      </w:r>
      <w:r w:rsidRPr="00292A06">
        <w:rPr>
          <w:rFonts w:ascii="Palatino Linotype" w:hAnsi="Palatino Linotype"/>
          <w:i/>
          <w:iCs/>
          <w:sz w:val="20"/>
          <w:szCs w:val="20"/>
        </w:rPr>
        <w:t>p&lt;0.05</w:t>
      </w:r>
      <w:r w:rsidRPr="00292A06">
        <w:rPr>
          <w:rFonts w:ascii="Palatino Linotype" w:hAnsi="Palatino Linotype"/>
          <w:sz w:val="20"/>
          <w:szCs w:val="20"/>
        </w:rPr>
        <w:t xml:space="preserve"> vs 0.0 mM group as determined by Mann-Whitney U test (n=4).</w:t>
      </w:r>
      <w:r w:rsidRPr="00292A06">
        <w:rPr>
          <w:rFonts w:ascii="Palatino Linotype" w:hAnsi="Palatino Linotype"/>
          <w:sz w:val="20"/>
          <w:szCs w:val="20"/>
        </w:rPr>
        <w:br w:type="page"/>
      </w:r>
    </w:p>
    <w:p w14:paraId="744782DA" w14:textId="46120CC3" w:rsidR="00E90A0A" w:rsidRPr="00292A06" w:rsidRDefault="00E92D50" w:rsidP="00E90A0A">
      <w:pPr>
        <w:rPr>
          <w:rFonts w:ascii="Palatino Linotype" w:hAnsi="Palatino Linotype" w:cstheme="minorHAnsi"/>
          <w:b/>
          <w:bCs/>
          <w:sz w:val="20"/>
          <w:szCs w:val="20"/>
        </w:rPr>
      </w:pPr>
      <w:r>
        <w:rPr>
          <w:noProof/>
          <w:lang w:eastAsia="en-AU"/>
        </w:rPr>
        <w:lastRenderedPageBreak/>
        <w:drawing>
          <wp:inline distT="0" distB="0" distL="0" distR="0" wp14:anchorId="46C8E604" wp14:editId="5EE7EB40">
            <wp:extent cx="5274310" cy="58223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4310" cy="5822315"/>
                    </a:xfrm>
                    <a:prstGeom prst="rect">
                      <a:avLst/>
                    </a:prstGeom>
                    <a:noFill/>
                    <a:ln>
                      <a:noFill/>
                    </a:ln>
                  </pic:spPr>
                </pic:pic>
              </a:graphicData>
            </a:graphic>
          </wp:inline>
        </w:drawing>
      </w:r>
      <w:r w:rsidR="00CE377D" w:rsidRPr="00292A06">
        <w:rPr>
          <w:rFonts w:ascii="Palatino Linotype" w:hAnsi="Palatino Linotype"/>
          <w:b/>
          <w:bCs/>
          <w:sz w:val="20"/>
          <w:szCs w:val="20"/>
        </w:rPr>
        <w:t xml:space="preserve">Supplementary Figure </w:t>
      </w:r>
      <w:r w:rsidR="003F4F49">
        <w:rPr>
          <w:rFonts w:ascii="Palatino Linotype" w:hAnsi="Palatino Linotype"/>
          <w:b/>
          <w:bCs/>
          <w:sz w:val="20"/>
          <w:szCs w:val="20"/>
        </w:rPr>
        <w:t>3</w:t>
      </w:r>
      <w:r w:rsidR="00CE377D" w:rsidRPr="00292A06">
        <w:rPr>
          <w:rFonts w:ascii="Palatino Linotype" w:hAnsi="Palatino Linotype"/>
          <w:b/>
          <w:bCs/>
          <w:sz w:val="20"/>
          <w:szCs w:val="20"/>
        </w:rPr>
        <w:t>.</w:t>
      </w:r>
      <w:r w:rsidR="00E90A0A" w:rsidRPr="00292A06">
        <w:rPr>
          <w:rFonts w:ascii="Palatino Linotype" w:hAnsi="Palatino Linotype"/>
          <w:b/>
          <w:bCs/>
          <w:sz w:val="20"/>
          <w:szCs w:val="20"/>
        </w:rPr>
        <w:t xml:space="preserve"> Isotopic labelling profiles for LPE LPC and SM in control and </w:t>
      </w:r>
      <w:r w:rsidR="00384E0E">
        <w:rPr>
          <w:rFonts w:ascii="Palatino Linotype" w:hAnsi="Palatino Linotype" w:hint="eastAsia"/>
          <w:b/>
          <w:bCs/>
          <w:sz w:val="20"/>
          <w:szCs w:val="20"/>
        </w:rPr>
        <w:t>MFFA</w:t>
      </w:r>
      <w:r w:rsidR="00E90A0A" w:rsidRPr="00292A06">
        <w:rPr>
          <w:rFonts w:ascii="Palatino Linotype" w:hAnsi="Palatino Linotype"/>
          <w:b/>
          <w:bCs/>
          <w:sz w:val="20"/>
          <w:szCs w:val="20"/>
        </w:rPr>
        <w:t xml:space="preserve"> treated hepatocytes.</w:t>
      </w:r>
    </w:p>
    <w:p w14:paraId="7673E1CC" w14:textId="1E8A5296" w:rsidR="00E90A0A" w:rsidRPr="00292A06" w:rsidRDefault="00E90A0A" w:rsidP="00E90A0A">
      <w:pPr>
        <w:widowControl/>
        <w:rPr>
          <w:rFonts w:ascii="Palatino Linotype" w:hAnsi="Palatino Linotype"/>
          <w:sz w:val="20"/>
          <w:szCs w:val="20"/>
        </w:rPr>
      </w:pPr>
      <w:r w:rsidRPr="00292A06">
        <w:rPr>
          <w:rFonts w:ascii="Palatino Linotype" w:hAnsi="Palatino Linotype" w:cstheme="minorHAnsi"/>
          <w:sz w:val="20"/>
          <w:szCs w:val="20"/>
        </w:rPr>
        <w:t xml:space="preserve">Isolated rat hepatocytes were treated without (Ctrl) or with 2 mM </w:t>
      </w:r>
      <w:proofErr w:type="gramStart"/>
      <w:r w:rsidRPr="00292A06">
        <w:rPr>
          <w:rFonts w:ascii="Palatino Linotype" w:hAnsi="Palatino Linotype" w:cstheme="minorHAnsi"/>
          <w:sz w:val="20"/>
          <w:szCs w:val="20"/>
        </w:rPr>
        <w:t xml:space="preserve">of  </w:t>
      </w:r>
      <w:r w:rsidR="00641C80">
        <w:rPr>
          <w:rFonts w:ascii="Palatino Linotype" w:hAnsi="Palatino Linotype" w:cstheme="minorHAnsi"/>
          <w:sz w:val="20"/>
          <w:szCs w:val="20"/>
        </w:rPr>
        <w:t>M</w:t>
      </w:r>
      <w:r w:rsidRPr="00292A06">
        <w:rPr>
          <w:rFonts w:ascii="Palatino Linotype" w:hAnsi="Palatino Linotype" w:cstheme="minorHAnsi"/>
          <w:sz w:val="20"/>
          <w:szCs w:val="20"/>
        </w:rPr>
        <w:t>FFA</w:t>
      </w:r>
      <w:proofErr w:type="gramEnd"/>
      <w:r w:rsidRPr="00292A06">
        <w:rPr>
          <w:rFonts w:ascii="Palatino Linotype" w:hAnsi="Palatino Linotype" w:cstheme="minorHAnsi"/>
          <w:sz w:val="20"/>
          <w:szCs w:val="20"/>
        </w:rPr>
        <w:t xml:space="preserve"> in special DMEM media of which a nutrient has been replaced with its deuterated version (50 </w:t>
      </w:r>
      <w:proofErr w:type="spellStart"/>
      <w:r w:rsidRPr="00292A06">
        <w:rPr>
          <w:rFonts w:ascii="Palatino Linotype" w:hAnsi="Palatino Linotype" w:cstheme="minorHAnsi"/>
          <w:sz w:val="20"/>
          <w:szCs w:val="20"/>
        </w:rPr>
        <w:t>μM</w:t>
      </w:r>
      <w:proofErr w:type="spellEnd"/>
      <w:r w:rsidRPr="00292A06">
        <w:rPr>
          <w:rFonts w:ascii="Palatino Linotype" w:hAnsi="Palatino Linotype" w:cstheme="minorHAnsi"/>
          <w:sz w:val="20"/>
          <w:szCs w:val="20"/>
        </w:rPr>
        <w:t xml:space="preserve"> D4-ethanolamine</w:t>
      </w:r>
      <w:r w:rsidRPr="00292A06">
        <w:rPr>
          <w:rFonts w:ascii="Palatino Linotype" w:hAnsi="Palatino Linotype"/>
          <w:sz w:val="20"/>
          <w:szCs w:val="20"/>
        </w:rPr>
        <w:t xml:space="preserve">, </w:t>
      </w:r>
      <w:r w:rsidRPr="00292A06">
        <w:rPr>
          <w:rFonts w:ascii="Palatino Linotype" w:hAnsi="Palatino Linotype" w:cstheme="minorHAnsi"/>
          <w:sz w:val="20"/>
          <w:szCs w:val="20"/>
        </w:rPr>
        <w:t xml:space="preserve">30 </w:t>
      </w:r>
      <w:proofErr w:type="spellStart"/>
      <w:r w:rsidRPr="00292A06">
        <w:rPr>
          <w:rFonts w:ascii="Palatino Linotype" w:hAnsi="Palatino Linotype" w:cstheme="minorHAnsi"/>
          <w:sz w:val="20"/>
          <w:szCs w:val="20"/>
        </w:rPr>
        <w:t>μM</w:t>
      </w:r>
      <w:proofErr w:type="spellEnd"/>
      <w:r w:rsidRPr="00292A06">
        <w:rPr>
          <w:rFonts w:ascii="Palatino Linotype" w:hAnsi="Palatino Linotype"/>
          <w:sz w:val="20"/>
          <w:szCs w:val="20"/>
        </w:rPr>
        <w:t xml:space="preserve"> D9-choline or 200 </w:t>
      </w:r>
      <w:proofErr w:type="spellStart"/>
      <w:r w:rsidRPr="00292A06">
        <w:rPr>
          <w:rFonts w:ascii="Palatino Linotype" w:hAnsi="Palatino Linotype" w:cstheme="minorHAnsi"/>
          <w:sz w:val="20"/>
          <w:szCs w:val="20"/>
        </w:rPr>
        <w:t>μ</w:t>
      </w:r>
      <w:r w:rsidRPr="00292A06">
        <w:rPr>
          <w:rFonts w:ascii="Palatino Linotype" w:hAnsi="Palatino Linotype"/>
          <w:sz w:val="20"/>
          <w:szCs w:val="20"/>
        </w:rPr>
        <w:t>M</w:t>
      </w:r>
      <w:proofErr w:type="spellEnd"/>
      <w:r w:rsidRPr="00292A06">
        <w:rPr>
          <w:rFonts w:ascii="Palatino Linotype" w:hAnsi="Palatino Linotype"/>
          <w:sz w:val="20"/>
          <w:szCs w:val="20"/>
        </w:rPr>
        <w:t xml:space="preserve"> D3-methionine), serving as a flux tracer for phospholipid biosynthetic pathways, for 6 hours. The cells were then harvested and underwent lipid extraction, followed by lipidomic analysis. (A) the concentrations of unlabelled (</w:t>
      </w:r>
      <w:proofErr w:type="spellStart"/>
      <w:r w:rsidRPr="00292A06">
        <w:rPr>
          <w:rFonts w:ascii="Palatino Linotype" w:hAnsi="Palatino Linotype"/>
          <w:sz w:val="20"/>
          <w:szCs w:val="20"/>
        </w:rPr>
        <w:t>unlab</w:t>
      </w:r>
      <w:proofErr w:type="spellEnd"/>
      <w:r w:rsidRPr="00292A06">
        <w:rPr>
          <w:rFonts w:ascii="Palatino Linotype" w:hAnsi="Palatino Linotype"/>
          <w:sz w:val="20"/>
          <w:szCs w:val="20"/>
        </w:rPr>
        <w:t xml:space="preserve">.) and D4-labelled (D4) </w:t>
      </w:r>
      <w:r w:rsidR="00461337" w:rsidRPr="00292A06">
        <w:rPr>
          <w:rFonts w:ascii="Palatino Linotype" w:hAnsi="Palatino Linotype"/>
          <w:sz w:val="20"/>
          <w:szCs w:val="20"/>
        </w:rPr>
        <w:t>L</w:t>
      </w:r>
      <w:r w:rsidRPr="00292A06">
        <w:rPr>
          <w:rFonts w:ascii="Palatino Linotype" w:hAnsi="Palatino Linotype"/>
          <w:sz w:val="20"/>
          <w:szCs w:val="20"/>
        </w:rPr>
        <w:t xml:space="preserve">PE in the </w:t>
      </w:r>
      <w:r w:rsidRPr="00292A06">
        <w:rPr>
          <w:rFonts w:ascii="Palatino Linotype" w:hAnsi="Palatino Linotype" w:cstheme="minorHAnsi"/>
          <w:sz w:val="20"/>
          <w:szCs w:val="20"/>
        </w:rPr>
        <w:t>D4-ethanolamine labelling experiments (</w:t>
      </w:r>
      <w:r w:rsidRPr="00292A06">
        <w:rPr>
          <w:rFonts w:ascii="Palatino Linotype" w:hAnsi="Palatino Linotype"/>
          <w:sz w:val="20"/>
          <w:szCs w:val="20"/>
        </w:rPr>
        <w:t xml:space="preserve">Data shown as mean ± </w:t>
      </w:r>
      <w:proofErr w:type="spellStart"/>
      <w:r w:rsidRPr="00292A06">
        <w:rPr>
          <w:rFonts w:ascii="Palatino Linotype" w:hAnsi="Palatino Linotype"/>
          <w:sz w:val="20"/>
          <w:szCs w:val="20"/>
        </w:rPr>
        <w:t>sem</w:t>
      </w:r>
      <w:proofErr w:type="spellEnd"/>
      <w:r w:rsidRPr="00292A06">
        <w:rPr>
          <w:rFonts w:ascii="Palatino Linotype" w:hAnsi="Palatino Linotype"/>
          <w:sz w:val="20"/>
          <w:szCs w:val="20"/>
        </w:rPr>
        <w:t>;</w:t>
      </w:r>
      <w:r w:rsidRPr="00292A06">
        <w:rPr>
          <w:rFonts w:ascii="Palatino Linotype" w:hAnsi="Palatino Linotype" w:cstheme="minorHAnsi"/>
          <w:sz w:val="20"/>
          <w:szCs w:val="20"/>
        </w:rPr>
        <w:t xml:space="preserve"> pink: D4-labelled </w:t>
      </w:r>
      <w:r w:rsidR="006C13AC">
        <w:rPr>
          <w:rFonts w:ascii="Palatino Linotype" w:hAnsi="Palatino Linotype" w:cstheme="minorHAnsi"/>
          <w:sz w:val="20"/>
          <w:szCs w:val="20"/>
        </w:rPr>
        <w:t>LPE</w:t>
      </w:r>
      <w:r w:rsidRPr="00292A06">
        <w:rPr>
          <w:rFonts w:ascii="Palatino Linotype" w:hAnsi="Palatino Linotype" w:cstheme="minorHAnsi"/>
          <w:sz w:val="20"/>
          <w:szCs w:val="20"/>
        </w:rPr>
        <w:t>;</w:t>
      </w:r>
      <w:r w:rsidRPr="00292A06">
        <w:rPr>
          <w:rFonts w:ascii="Palatino Linotype" w:hAnsi="Palatino Linotype"/>
          <w:sz w:val="20"/>
          <w:szCs w:val="20"/>
        </w:rPr>
        <w:t xml:space="preserve"> n=4</w:t>
      </w:r>
      <w:r w:rsidRPr="00292A06">
        <w:rPr>
          <w:rFonts w:ascii="Palatino Linotype" w:hAnsi="Palatino Linotype" w:cstheme="minorHAnsi"/>
          <w:sz w:val="20"/>
          <w:szCs w:val="20"/>
        </w:rPr>
        <w:t xml:space="preserve">). </w:t>
      </w:r>
      <w:r w:rsidR="00461337" w:rsidRPr="00292A06">
        <w:rPr>
          <w:rFonts w:ascii="Palatino Linotype" w:hAnsi="Palatino Linotype" w:cstheme="minorHAnsi"/>
          <w:sz w:val="20"/>
          <w:szCs w:val="20"/>
        </w:rPr>
        <w:t xml:space="preserve">S. </w:t>
      </w:r>
      <w:r w:rsidRPr="00292A06">
        <w:rPr>
          <w:rFonts w:ascii="Palatino Linotype" w:hAnsi="Palatino Linotype"/>
          <w:sz w:val="20"/>
          <w:szCs w:val="20"/>
        </w:rPr>
        <w:t>Figure 4B and 4C show the concentrations of the unlabelled (</w:t>
      </w:r>
      <w:proofErr w:type="spellStart"/>
      <w:r w:rsidRPr="00292A06">
        <w:rPr>
          <w:rFonts w:ascii="Palatino Linotype" w:hAnsi="Palatino Linotype"/>
          <w:sz w:val="20"/>
          <w:szCs w:val="20"/>
        </w:rPr>
        <w:t>unlab</w:t>
      </w:r>
      <w:proofErr w:type="spellEnd"/>
      <w:r w:rsidRPr="00292A06">
        <w:rPr>
          <w:rFonts w:ascii="Palatino Linotype" w:hAnsi="Palatino Linotype"/>
          <w:sz w:val="20"/>
          <w:szCs w:val="20"/>
        </w:rPr>
        <w:t xml:space="preserve">.) and D3, D6 and D9-labelled (D3, D6 and D9) </w:t>
      </w:r>
      <w:r w:rsidR="00461337" w:rsidRPr="00292A06">
        <w:rPr>
          <w:rFonts w:ascii="Palatino Linotype" w:hAnsi="Palatino Linotype"/>
          <w:sz w:val="20"/>
          <w:szCs w:val="20"/>
        </w:rPr>
        <w:t>L</w:t>
      </w:r>
      <w:r w:rsidRPr="00292A06">
        <w:rPr>
          <w:rFonts w:ascii="Palatino Linotype" w:hAnsi="Palatino Linotype"/>
          <w:sz w:val="20"/>
          <w:szCs w:val="20"/>
        </w:rPr>
        <w:t>PC</w:t>
      </w:r>
      <w:r w:rsidR="00461337" w:rsidRPr="00292A06">
        <w:rPr>
          <w:rFonts w:ascii="Palatino Linotype" w:hAnsi="Palatino Linotype"/>
          <w:sz w:val="20"/>
          <w:szCs w:val="20"/>
        </w:rPr>
        <w:t xml:space="preserve"> and SM</w:t>
      </w:r>
      <w:r w:rsidRPr="00292A06">
        <w:rPr>
          <w:rFonts w:ascii="Palatino Linotype" w:hAnsi="Palatino Linotype"/>
          <w:sz w:val="20"/>
          <w:szCs w:val="20"/>
        </w:rPr>
        <w:t xml:space="preserve"> in </w:t>
      </w:r>
      <w:r w:rsidRPr="00292A06">
        <w:rPr>
          <w:rFonts w:ascii="Palatino Linotype" w:hAnsi="Palatino Linotype" w:cstheme="minorHAnsi"/>
          <w:sz w:val="20"/>
          <w:szCs w:val="20"/>
        </w:rPr>
        <w:t>D9-choline and D3-methionine labelling experiments, respectively. (</w:t>
      </w:r>
      <w:r w:rsidRPr="00292A06">
        <w:rPr>
          <w:rFonts w:ascii="Palatino Linotype" w:hAnsi="Palatino Linotype"/>
          <w:sz w:val="20"/>
          <w:szCs w:val="20"/>
        </w:rPr>
        <w:t xml:space="preserve">Data shown as mean ± </w:t>
      </w:r>
      <w:proofErr w:type="spellStart"/>
      <w:r w:rsidRPr="00292A06">
        <w:rPr>
          <w:rFonts w:ascii="Palatino Linotype" w:hAnsi="Palatino Linotype"/>
          <w:sz w:val="20"/>
          <w:szCs w:val="20"/>
        </w:rPr>
        <w:t>sem</w:t>
      </w:r>
      <w:proofErr w:type="spellEnd"/>
      <w:r w:rsidRPr="00292A06">
        <w:rPr>
          <w:rFonts w:ascii="Palatino Linotype" w:hAnsi="Palatino Linotype"/>
          <w:sz w:val="20"/>
          <w:szCs w:val="20"/>
        </w:rPr>
        <w:t>; discrete Y-axis;</w:t>
      </w:r>
      <w:r w:rsidRPr="00292A06">
        <w:rPr>
          <w:rFonts w:ascii="Palatino Linotype" w:hAnsi="Palatino Linotype" w:cstheme="minorHAnsi"/>
          <w:sz w:val="20"/>
          <w:szCs w:val="20"/>
        </w:rPr>
        <w:t xml:space="preserve"> blue: D3-labelled lipid; orange: D6-labelled lipid; green: D9-labelled lipid; </w:t>
      </w:r>
      <w:bookmarkStart w:id="1" w:name="_Hlk13487899"/>
      <w:r w:rsidRPr="00292A06">
        <w:rPr>
          <w:rFonts w:ascii="Palatino Linotype" w:hAnsi="Palatino Linotype" w:cstheme="minorHAnsi"/>
          <w:sz w:val="20"/>
          <w:szCs w:val="20"/>
        </w:rPr>
        <w:t xml:space="preserve">a: </w:t>
      </w:r>
      <w:r w:rsidRPr="00292A06">
        <w:rPr>
          <w:rFonts w:ascii="Palatino Linotype" w:hAnsi="Palatino Linotype" w:cstheme="minorHAnsi"/>
          <w:i/>
          <w:iCs/>
          <w:sz w:val="20"/>
          <w:szCs w:val="20"/>
        </w:rPr>
        <w:t>p</w:t>
      </w:r>
      <w:r w:rsidRPr="00292A06">
        <w:rPr>
          <w:rFonts w:ascii="Palatino Linotype" w:hAnsi="Palatino Linotype"/>
          <w:i/>
          <w:iCs/>
          <w:sz w:val="20"/>
          <w:szCs w:val="20"/>
        </w:rPr>
        <w:t>&lt;0.05</w:t>
      </w:r>
      <w:r w:rsidRPr="00292A06">
        <w:rPr>
          <w:rFonts w:ascii="Palatino Linotype" w:hAnsi="Palatino Linotype"/>
          <w:sz w:val="20"/>
          <w:szCs w:val="20"/>
        </w:rPr>
        <w:t xml:space="preserve"> vs corresponding unlabelled/labelled </w:t>
      </w:r>
      <w:r w:rsidR="00461337" w:rsidRPr="00292A06">
        <w:rPr>
          <w:rFonts w:ascii="Palatino Linotype" w:hAnsi="Palatino Linotype"/>
          <w:sz w:val="20"/>
          <w:szCs w:val="20"/>
        </w:rPr>
        <w:t>L</w:t>
      </w:r>
      <w:r w:rsidRPr="00292A06">
        <w:rPr>
          <w:rFonts w:ascii="Palatino Linotype" w:hAnsi="Palatino Linotype"/>
          <w:sz w:val="20"/>
          <w:szCs w:val="20"/>
        </w:rPr>
        <w:t>PC</w:t>
      </w:r>
      <w:r w:rsidR="00461337" w:rsidRPr="00292A06">
        <w:rPr>
          <w:rFonts w:ascii="Palatino Linotype" w:hAnsi="Palatino Linotype"/>
          <w:sz w:val="20"/>
          <w:szCs w:val="20"/>
        </w:rPr>
        <w:t>/SM</w:t>
      </w:r>
      <w:r w:rsidRPr="00292A06">
        <w:rPr>
          <w:rFonts w:ascii="Palatino Linotype" w:hAnsi="Palatino Linotype"/>
          <w:sz w:val="20"/>
          <w:szCs w:val="20"/>
        </w:rPr>
        <w:t xml:space="preserve"> in Ctrl group</w:t>
      </w:r>
      <w:bookmarkEnd w:id="1"/>
      <w:r w:rsidRPr="00292A06">
        <w:rPr>
          <w:rFonts w:ascii="Palatino Linotype" w:hAnsi="Palatino Linotype"/>
          <w:sz w:val="20"/>
          <w:szCs w:val="20"/>
        </w:rPr>
        <w:t>; Mann-Whitney U test;</w:t>
      </w:r>
      <w:r w:rsidRPr="00292A06">
        <w:rPr>
          <w:rFonts w:ascii="Palatino Linotype" w:hAnsi="Palatino Linotype" w:cstheme="minorHAnsi"/>
          <w:sz w:val="20"/>
          <w:szCs w:val="20"/>
        </w:rPr>
        <w:t xml:space="preserve"> </w:t>
      </w:r>
      <w:r w:rsidRPr="00292A06">
        <w:rPr>
          <w:rFonts w:ascii="Palatino Linotype" w:hAnsi="Palatino Linotype"/>
          <w:sz w:val="20"/>
          <w:szCs w:val="20"/>
        </w:rPr>
        <w:t>n=3 for D9-choline and D3-methionine experiments</w:t>
      </w:r>
      <w:r w:rsidRPr="00292A06">
        <w:rPr>
          <w:rFonts w:ascii="Palatino Linotype" w:hAnsi="Palatino Linotype" w:cstheme="minorHAnsi"/>
          <w:sz w:val="20"/>
          <w:szCs w:val="20"/>
        </w:rPr>
        <w:t>).</w:t>
      </w:r>
    </w:p>
    <w:p w14:paraId="0E016E9E" w14:textId="56AA5202" w:rsidR="007F7A5E" w:rsidRPr="00292A06" w:rsidRDefault="007F7A5E" w:rsidP="00CE377D">
      <w:pPr>
        <w:rPr>
          <w:rFonts w:ascii="Palatino Linotype" w:hAnsi="Palatino Linotype"/>
          <w:sz w:val="20"/>
          <w:szCs w:val="20"/>
        </w:rPr>
      </w:pPr>
    </w:p>
    <w:sectPr w:rsidR="007F7A5E" w:rsidRPr="00292A06" w:rsidSect="006A3AF5">
      <w:footerReference w:type="default" r:id="rId10"/>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7598" w14:textId="77777777" w:rsidR="008101EA" w:rsidRDefault="008101EA" w:rsidP="008C136A">
      <w:r>
        <w:separator/>
      </w:r>
    </w:p>
  </w:endnote>
  <w:endnote w:type="continuationSeparator" w:id="0">
    <w:p w14:paraId="5042523C" w14:textId="77777777" w:rsidR="008101EA" w:rsidRDefault="008101EA" w:rsidP="008C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9983268"/>
      <w:docPartObj>
        <w:docPartGallery w:val="Page Numbers (Bottom of Page)"/>
        <w:docPartUnique/>
      </w:docPartObj>
    </w:sdtPr>
    <w:sdtEndPr>
      <w:rPr>
        <w:noProof/>
      </w:rPr>
    </w:sdtEndPr>
    <w:sdtContent>
      <w:p w14:paraId="0B4D9543" w14:textId="406F6851" w:rsidR="005560A5" w:rsidRDefault="005560A5">
        <w:pPr>
          <w:pStyle w:val="Footer"/>
          <w:jc w:val="right"/>
        </w:pPr>
        <w:r>
          <w:fldChar w:fldCharType="begin"/>
        </w:r>
        <w:r>
          <w:instrText xml:space="preserve"> PAGE   \* MERGEFORMAT </w:instrText>
        </w:r>
        <w:r>
          <w:fldChar w:fldCharType="separate"/>
        </w:r>
        <w:r w:rsidR="00D177D5">
          <w:rPr>
            <w:noProof/>
          </w:rPr>
          <w:t>4</w:t>
        </w:r>
        <w:r>
          <w:rPr>
            <w:noProof/>
          </w:rPr>
          <w:fldChar w:fldCharType="end"/>
        </w:r>
      </w:p>
    </w:sdtContent>
  </w:sdt>
  <w:p w14:paraId="5E18892A" w14:textId="77777777" w:rsidR="005560A5" w:rsidRDefault="005560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A605C" w14:textId="77777777" w:rsidR="008101EA" w:rsidRDefault="008101EA" w:rsidP="008C136A">
      <w:r>
        <w:separator/>
      </w:r>
    </w:p>
  </w:footnote>
  <w:footnote w:type="continuationSeparator" w:id="0">
    <w:p w14:paraId="563EF291" w14:textId="77777777" w:rsidR="008101EA" w:rsidRDefault="008101EA" w:rsidP="008C13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40"/>
    <w:rsid w:val="0002419F"/>
    <w:rsid w:val="000309F1"/>
    <w:rsid w:val="00097FF9"/>
    <w:rsid w:val="000B5B1F"/>
    <w:rsid w:val="00104C9E"/>
    <w:rsid w:val="00132A20"/>
    <w:rsid w:val="00143900"/>
    <w:rsid w:val="001639A0"/>
    <w:rsid w:val="0016747A"/>
    <w:rsid w:val="001D6E95"/>
    <w:rsid w:val="0021245C"/>
    <w:rsid w:val="00224485"/>
    <w:rsid w:val="00225988"/>
    <w:rsid w:val="00246C4B"/>
    <w:rsid w:val="00280EDA"/>
    <w:rsid w:val="00292A06"/>
    <w:rsid w:val="003036E9"/>
    <w:rsid w:val="00331690"/>
    <w:rsid w:val="00384E0E"/>
    <w:rsid w:val="003F4F49"/>
    <w:rsid w:val="00414712"/>
    <w:rsid w:val="00461337"/>
    <w:rsid w:val="004A15AA"/>
    <w:rsid w:val="004B775F"/>
    <w:rsid w:val="004C6398"/>
    <w:rsid w:val="004F5F9F"/>
    <w:rsid w:val="00502213"/>
    <w:rsid w:val="0053387E"/>
    <w:rsid w:val="00555F48"/>
    <w:rsid w:val="005560A5"/>
    <w:rsid w:val="005D3DC5"/>
    <w:rsid w:val="005E33F2"/>
    <w:rsid w:val="005F321C"/>
    <w:rsid w:val="00641C80"/>
    <w:rsid w:val="00644456"/>
    <w:rsid w:val="00680AEE"/>
    <w:rsid w:val="00681FF1"/>
    <w:rsid w:val="006A3AF5"/>
    <w:rsid w:val="006B3CC7"/>
    <w:rsid w:val="006C13AC"/>
    <w:rsid w:val="00717706"/>
    <w:rsid w:val="007F381C"/>
    <w:rsid w:val="007F7A5E"/>
    <w:rsid w:val="008101EA"/>
    <w:rsid w:val="008131C4"/>
    <w:rsid w:val="00831D17"/>
    <w:rsid w:val="008C136A"/>
    <w:rsid w:val="009311C3"/>
    <w:rsid w:val="009E3297"/>
    <w:rsid w:val="00A94B6E"/>
    <w:rsid w:val="00AC1890"/>
    <w:rsid w:val="00AC7910"/>
    <w:rsid w:val="00B077C0"/>
    <w:rsid w:val="00BC0C6A"/>
    <w:rsid w:val="00BE7B38"/>
    <w:rsid w:val="00C15900"/>
    <w:rsid w:val="00C43FF9"/>
    <w:rsid w:val="00C649FC"/>
    <w:rsid w:val="00C7296B"/>
    <w:rsid w:val="00C73E9F"/>
    <w:rsid w:val="00C913AF"/>
    <w:rsid w:val="00CD67BF"/>
    <w:rsid w:val="00CE2E68"/>
    <w:rsid w:val="00CE377D"/>
    <w:rsid w:val="00D177D5"/>
    <w:rsid w:val="00D97A54"/>
    <w:rsid w:val="00DF4E55"/>
    <w:rsid w:val="00E07E75"/>
    <w:rsid w:val="00E210CE"/>
    <w:rsid w:val="00E534F2"/>
    <w:rsid w:val="00E5360F"/>
    <w:rsid w:val="00E566B8"/>
    <w:rsid w:val="00E72C31"/>
    <w:rsid w:val="00E90A0A"/>
    <w:rsid w:val="00E92D50"/>
    <w:rsid w:val="00EF25AC"/>
    <w:rsid w:val="00F1275C"/>
    <w:rsid w:val="00F31CC1"/>
    <w:rsid w:val="00F714A0"/>
    <w:rsid w:val="00F85A3D"/>
    <w:rsid w:val="00FF184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C89A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40"/>
    <w:pPr>
      <w:widowControl w:val="0"/>
      <w:spacing w:after="0" w:line="240" w:lineRule="auto"/>
    </w:pPr>
    <w:rPr>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296B"/>
    <w:rPr>
      <w:color w:val="0000FF"/>
      <w:u w:val="single"/>
    </w:rPr>
  </w:style>
  <w:style w:type="paragraph" w:styleId="Header">
    <w:name w:val="header"/>
    <w:basedOn w:val="Normal"/>
    <w:link w:val="HeaderChar"/>
    <w:uiPriority w:val="99"/>
    <w:unhideWhenUsed/>
    <w:rsid w:val="008C136A"/>
    <w:pPr>
      <w:tabs>
        <w:tab w:val="center" w:pos="4153"/>
        <w:tab w:val="right" w:pos="8306"/>
      </w:tabs>
    </w:pPr>
  </w:style>
  <w:style w:type="character" w:customStyle="1" w:styleId="HeaderChar">
    <w:name w:val="Header Char"/>
    <w:basedOn w:val="DefaultParagraphFont"/>
    <w:link w:val="Header"/>
    <w:uiPriority w:val="99"/>
    <w:rsid w:val="008C136A"/>
    <w:rPr>
      <w:kern w:val="2"/>
      <w:sz w:val="24"/>
    </w:rPr>
  </w:style>
  <w:style w:type="paragraph" w:styleId="Footer">
    <w:name w:val="footer"/>
    <w:basedOn w:val="Normal"/>
    <w:link w:val="FooterChar"/>
    <w:uiPriority w:val="99"/>
    <w:unhideWhenUsed/>
    <w:rsid w:val="008C136A"/>
    <w:pPr>
      <w:tabs>
        <w:tab w:val="center" w:pos="4153"/>
        <w:tab w:val="right" w:pos="8306"/>
      </w:tabs>
    </w:pPr>
  </w:style>
  <w:style w:type="character" w:customStyle="1" w:styleId="FooterChar">
    <w:name w:val="Footer Char"/>
    <w:basedOn w:val="DefaultParagraphFont"/>
    <w:link w:val="Footer"/>
    <w:uiPriority w:val="99"/>
    <w:rsid w:val="008C136A"/>
    <w:rPr>
      <w:kern w:val="2"/>
      <w:sz w:val="24"/>
    </w:rPr>
  </w:style>
  <w:style w:type="paragraph" w:styleId="BalloonText">
    <w:name w:val="Balloon Text"/>
    <w:basedOn w:val="Normal"/>
    <w:link w:val="BalloonTextChar"/>
    <w:uiPriority w:val="99"/>
    <w:semiHidden/>
    <w:unhideWhenUsed/>
    <w:rsid w:val="008C136A"/>
    <w:rPr>
      <w:rFonts w:ascii="Microsoft JhengHei UI" w:eastAsia="Microsoft JhengHei UI"/>
      <w:sz w:val="18"/>
      <w:szCs w:val="18"/>
    </w:rPr>
  </w:style>
  <w:style w:type="character" w:customStyle="1" w:styleId="BalloonTextChar">
    <w:name w:val="Balloon Text Char"/>
    <w:basedOn w:val="DefaultParagraphFont"/>
    <w:link w:val="BalloonText"/>
    <w:uiPriority w:val="99"/>
    <w:semiHidden/>
    <w:rsid w:val="008C136A"/>
    <w:rPr>
      <w:rFonts w:ascii="Microsoft JhengHei UI" w:eastAsia="Microsoft JhengHei UI"/>
      <w:kern w:val="2"/>
      <w:sz w:val="18"/>
      <w:szCs w:val="18"/>
    </w:rPr>
  </w:style>
  <w:style w:type="character" w:styleId="CommentReference">
    <w:name w:val="annotation reference"/>
    <w:basedOn w:val="DefaultParagraphFont"/>
    <w:uiPriority w:val="99"/>
    <w:semiHidden/>
    <w:unhideWhenUsed/>
    <w:rsid w:val="005E33F2"/>
    <w:rPr>
      <w:sz w:val="16"/>
      <w:szCs w:val="16"/>
    </w:rPr>
  </w:style>
  <w:style w:type="paragraph" w:styleId="CommentText">
    <w:name w:val="annotation text"/>
    <w:basedOn w:val="Normal"/>
    <w:link w:val="CommentTextChar"/>
    <w:uiPriority w:val="99"/>
    <w:semiHidden/>
    <w:unhideWhenUsed/>
    <w:rsid w:val="005E33F2"/>
    <w:rPr>
      <w:sz w:val="20"/>
      <w:szCs w:val="20"/>
    </w:rPr>
  </w:style>
  <w:style w:type="character" w:customStyle="1" w:styleId="CommentTextChar">
    <w:name w:val="Comment Text Char"/>
    <w:basedOn w:val="DefaultParagraphFont"/>
    <w:link w:val="CommentText"/>
    <w:uiPriority w:val="99"/>
    <w:semiHidden/>
    <w:rsid w:val="005E33F2"/>
    <w:rPr>
      <w:kern w:val="2"/>
      <w:sz w:val="20"/>
      <w:szCs w:val="20"/>
    </w:rPr>
  </w:style>
  <w:style w:type="paragraph" w:customStyle="1" w:styleId="Default">
    <w:name w:val="Default"/>
    <w:rsid w:val="004B775F"/>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Subject">
    <w:name w:val="annotation subject"/>
    <w:basedOn w:val="CommentText"/>
    <w:next w:val="CommentText"/>
    <w:link w:val="CommentSubjectChar"/>
    <w:uiPriority w:val="99"/>
    <w:semiHidden/>
    <w:unhideWhenUsed/>
    <w:rsid w:val="00BE7B38"/>
    <w:rPr>
      <w:b/>
      <w:bCs/>
    </w:rPr>
  </w:style>
  <w:style w:type="character" w:customStyle="1" w:styleId="CommentSubjectChar">
    <w:name w:val="Comment Subject Char"/>
    <w:basedOn w:val="CommentTextChar"/>
    <w:link w:val="CommentSubject"/>
    <w:uiPriority w:val="99"/>
    <w:semiHidden/>
    <w:rsid w:val="00BE7B38"/>
    <w:rPr>
      <w:b/>
      <w:bCs/>
      <w:kern w:val="2"/>
      <w:sz w:val="20"/>
      <w:szCs w:val="20"/>
    </w:rPr>
  </w:style>
  <w:style w:type="paragraph" w:customStyle="1" w:styleId="MDPI13authornames">
    <w:name w:val="MDPI_1.3_authornames"/>
    <w:next w:val="Normal"/>
    <w:qFormat/>
    <w:rsid w:val="00E210CE"/>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qFormat/>
    <w:rsid w:val="00E210CE"/>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19453-2325-41BC-B5DC-10B3DE840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2021-03-16T11:34:00Z</dcterms:created>
  <dcterms:modified xsi:type="dcterms:W3CDTF">2021-03-18T03:06:00Z</dcterms:modified>
</cp:coreProperties>
</file>