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</w:pP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 xml:space="preserve">Table </w:t>
      </w:r>
      <w:r>
        <w:rPr>
          <w:rFonts w:hint="eastAsia"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S</w:t>
      </w: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1</w:t>
      </w:r>
      <w:r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  <w:t xml:space="preserve"> Gradient Elution Conditions</w:t>
      </w:r>
    </w:p>
    <w:tbl>
      <w:tblPr>
        <w:tblStyle w:val="2"/>
        <w:tblW w:w="4251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7"/>
        <w:gridCol w:w="1417"/>
        <w:gridCol w:w="1417"/>
      </w:tblGrid>
      <w:tr>
        <w:trPr>
          <w:trHeight w:val="283" w:hRule="atLeast"/>
          <w:jc w:val="center"/>
        </w:trPr>
        <w:tc>
          <w:tcPr>
            <w:tcW w:w="1417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eastAsia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T</w:t>
            </w: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ime(min)</w:t>
            </w:r>
          </w:p>
        </w:tc>
        <w:tc>
          <w:tcPr>
            <w:tcW w:w="1417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A%</w:t>
            </w:r>
          </w:p>
        </w:tc>
        <w:tc>
          <w:tcPr>
            <w:tcW w:w="1417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B%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70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30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50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20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80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100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100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15.1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</w:tr>
      <w:tr>
        <w:trPr>
          <w:trHeight w:val="283" w:hRule="atLeast"/>
          <w:jc w:val="center"/>
        </w:trPr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95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</w:t>
            </w:r>
          </w:p>
        </w:tc>
      </w:tr>
    </w:tbl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</w:pPr>
    </w:p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</w:pP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 xml:space="preserve">Table </w:t>
      </w:r>
      <w:r>
        <w:rPr>
          <w:rFonts w:hint="eastAsia"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S</w:t>
      </w: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2</w:t>
      </w:r>
      <w:r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  <w:t xml:space="preserve"> Mass Spectrometry Parameters</w:t>
      </w:r>
    </w:p>
    <w:tbl>
      <w:tblPr>
        <w:tblStyle w:val="2"/>
        <w:tblW w:w="5988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52"/>
        <w:gridCol w:w="1718"/>
        <w:gridCol w:w="1718"/>
      </w:tblGrid>
      <w:tr>
        <w:trPr>
          <w:trHeight w:val="340" w:hRule="atLeast"/>
          <w:jc w:val="center"/>
        </w:trPr>
        <w:tc>
          <w:tcPr>
            <w:tcW w:w="2552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Parameter</w:t>
            </w:r>
          </w:p>
        </w:tc>
        <w:tc>
          <w:tcPr>
            <w:tcW w:w="1718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Positive Ion</w:t>
            </w:r>
          </w:p>
        </w:tc>
        <w:tc>
          <w:tcPr>
            <w:tcW w:w="1718" w:type="dxa"/>
            <w:tcBorders>
              <w:top w:val="single" w:color="000000" w:sz="12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b/>
                <w:color w:val="000000"/>
                <w:kern w:val="0"/>
                <w:sz w:val="18"/>
                <w:szCs w:val="18"/>
                <w:highlight w:val="none"/>
                <w:lang w:bidi="en-US"/>
              </w:rPr>
              <w:t>Negative Ion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Spray Voltage (V)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3800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-3000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Capillary Temperature (°C)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320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Aux gas heater temperature (℃)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Sheath Gas Flow Rate (Arb)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Aux gas flow rate (Arb)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S-lens RF level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50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Mass range (m/z)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100-1500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100-1500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Full ms resolution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60000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60000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MS/MS resolution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15000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15000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NCE/stepped NCE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，</w:t>
            </w: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，</w:t>
            </w: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40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，</w:t>
            </w: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，</w:t>
            </w: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40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Aux gas heater temperature (℃)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350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350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Sheath Gas Flow Rate (Arb)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</w:t>
            </w:r>
          </w:p>
        </w:tc>
        <w:tc>
          <w:tcPr>
            <w:tcW w:w="171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35</w:t>
            </w:r>
          </w:p>
        </w:tc>
      </w:tr>
      <w:tr>
        <w:trPr>
          <w:trHeight w:val="340" w:hRule="atLeast"/>
          <w:jc w:val="center"/>
        </w:trPr>
        <w:tc>
          <w:tcPr>
            <w:tcW w:w="2552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Aux gas flow rate (Arb)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  <w:tc>
          <w:tcPr>
            <w:tcW w:w="1718" w:type="dxa"/>
            <w:tcBorders>
              <w:top w:val="nil"/>
              <w:left w:val="nil"/>
              <w:bottom w:val="single" w:color="000000" w:sz="12" w:space="0"/>
              <w:right w:val="nil"/>
            </w:tcBorders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-webkit-standard" w:cs="Times New Roman Regular"/>
                <w:color w:val="000000"/>
                <w:kern w:val="0"/>
                <w:sz w:val="18"/>
                <w:szCs w:val="18"/>
                <w:highlight w:val="none"/>
                <w:lang w:bidi="ar"/>
              </w:rPr>
              <w:t>8</w:t>
            </w:r>
          </w:p>
        </w:tc>
      </w:tr>
    </w:tbl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</w:pPr>
    </w:p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ar"/>
        </w:rPr>
      </w:pPr>
    </w:p>
    <w:p>
      <w:pPr>
        <w:widowControl/>
        <w:jc w:val="center"/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ar"/>
        </w:rPr>
      </w:pPr>
    </w:p>
    <w:p>
      <w:pPr>
        <w:widowControl/>
        <w:jc w:val="center"/>
        <w:rPr>
          <w:rFonts w:hint="eastAsia" w:ascii="Times New Roman Regular" w:hAnsi="Times New Roman Regular" w:eastAsia="宋体" w:cs="Times New Roman Regular"/>
          <w:sz w:val="18"/>
          <w:szCs w:val="18"/>
          <w:highlight w:val="none"/>
        </w:rPr>
      </w:pP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ar"/>
        </w:rPr>
        <w:t>T</w:t>
      </w: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able S</w:t>
      </w:r>
      <w:r>
        <w:rPr>
          <w:rFonts w:hint="eastAsia"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>3</w:t>
      </w:r>
      <w:r>
        <w:rPr>
          <w:rFonts w:ascii="Times New Roman Regular" w:hAnsi="Times New Roman Regular" w:eastAsia="-webkit-standard" w:cs="Times New Roman Regular"/>
          <w:b/>
          <w:bCs/>
          <w:color w:val="000000"/>
          <w:kern w:val="0"/>
          <w:sz w:val="18"/>
          <w:szCs w:val="18"/>
          <w:highlight w:val="none"/>
          <w:lang w:bidi="en-US"/>
        </w:rPr>
        <w:t xml:space="preserve"> </w:t>
      </w:r>
      <w:r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en-US"/>
        </w:rPr>
        <w:t>I</w:t>
      </w:r>
      <w:r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ar"/>
        </w:rPr>
        <w:t xml:space="preserve">dentification of Chemical Constituents in the Ethyl Acetate </w:t>
      </w:r>
      <w:r>
        <w:rPr>
          <w:rFonts w:hint="eastAsia"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val="en-US" w:eastAsia="zh-CN" w:bidi="ar"/>
        </w:rPr>
        <w:t>E</w:t>
      </w:r>
      <w:r>
        <w:rPr>
          <w:rFonts w:hint="eastAsia"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ar"/>
        </w:rPr>
        <w:t>xtract</w:t>
      </w:r>
      <w:r>
        <w:rPr>
          <w:rFonts w:ascii="Times New Roman Regular" w:hAnsi="Times New Roman Regular" w:eastAsia="-webkit-standard" w:cs="Times New Roman Regular"/>
          <w:color w:val="000000"/>
          <w:kern w:val="0"/>
          <w:sz w:val="18"/>
          <w:szCs w:val="18"/>
          <w:highlight w:val="none"/>
          <w:lang w:bidi="ar"/>
        </w:rPr>
        <w:t xml:space="preserve"> of </w:t>
      </w:r>
      <w:r>
        <w:rPr>
          <w:rFonts w:hint="default" w:ascii="Times New Roman Italic" w:hAnsi="Times New Roman Italic" w:eastAsia="-webkit-standard" w:cs="Times New Roman Italic"/>
          <w:i/>
          <w:iCs/>
          <w:color w:val="000000"/>
          <w:kern w:val="0"/>
          <w:sz w:val="18"/>
          <w:szCs w:val="18"/>
          <w:highlight w:val="none"/>
          <w:lang w:bidi="ar"/>
        </w:rPr>
        <w:t>Cichorium glandulosum</w:t>
      </w:r>
    </w:p>
    <w:tbl>
      <w:tblPr>
        <w:tblStyle w:val="3"/>
        <w:tblpPr w:leftFromText="180" w:rightFromText="180" w:vertAnchor="text" w:tblpXSpec="center" w:tblpY="1"/>
        <w:tblOverlap w:val="never"/>
        <w:tblW w:w="105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2410"/>
        <w:gridCol w:w="1134"/>
        <w:gridCol w:w="1134"/>
        <w:gridCol w:w="2268"/>
        <w:gridCol w:w="1843"/>
      </w:tblGrid>
      <w:tr>
        <w:trPr>
          <w:trHeight w:val="170" w:hRule="atLeast"/>
          <w:jc w:val="center"/>
        </w:trPr>
        <w:tc>
          <w:tcPr>
            <w:tcW w:w="675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NO.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</w:t>
            </w: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  <w:vertAlign w:val="subscript"/>
              </w:rPr>
              <w:t>R</w:t>
            </w: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(min)</w:t>
            </w:r>
          </w:p>
        </w:tc>
        <w:tc>
          <w:tcPr>
            <w:tcW w:w="2410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Identify Components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Formula</w:t>
            </w:r>
          </w:p>
        </w:tc>
        <w:tc>
          <w:tcPr>
            <w:tcW w:w="1134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Adducts</w:t>
            </w:r>
          </w:p>
        </w:tc>
        <w:tc>
          <w:tcPr>
            <w:tcW w:w="2268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Fragment Ion</w:t>
            </w:r>
          </w:p>
        </w:tc>
        <w:tc>
          <w:tcPr>
            <w:tcW w:w="1843" w:type="dxa"/>
            <w:tcBorders>
              <w:top w:val="single" w:color="000000" w:sz="12" w:space="0"/>
              <w:bottom w:val="single" w:color="auto" w:sz="8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Chemical Class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1.835</w:t>
            </w:r>
          </w:p>
        </w:tc>
        <w:tc>
          <w:tcPr>
            <w:tcW w:w="2410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Gallic acid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125.0241, 169.0138</w:t>
            </w:r>
          </w:p>
        </w:tc>
        <w:tc>
          <w:tcPr>
            <w:tcW w:w="1843" w:type="dxa"/>
            <w:tcBorders>
              <w:top w:val="single" w:color="auto" w:sz="8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3.303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3,5-Dihydroxybenzoic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109.0302, 153.0188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 xml:space="preserve">Carboxylic acid and 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D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4.140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4-hydroxy-2 hexenoic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85.0657, 113.0606, 115.0398, 131.071, 146.9609, 157.0502, 175.0608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Fatty Acyls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4.201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Gentisic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108.0215, 109.0293, 151.0033, 153.0189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4.301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Dihydrocaffeic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59.0137, 109.0292, 109.0657, 119.0499, 121.0293, 135.0447, 137.0605, 166.0266, 181.0501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4.301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Methyl 5-hydroxypyridine-2-carboxylate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NO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152.0349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Alkaloids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4.339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Phthalic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93.0344, 121.0292, 135.0449, 139.0401, 165.0189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4.437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Esculetin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149.0240, 163.2953, 166.8896, 171.8446, 175.9422, 175.9823, 176.4226, 176.7810, 176.8810, 177.0188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4.674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3-Feruloylquinic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17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93.0344, 173.0451, 191.0556, 193.05, 367.102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4.712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3-O-p-coumaroylquinic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93.0344, 163.0396, 173.0451, 191.0557, 337.0536, 337.0923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Carboxylic Acids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4.750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eroxidin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11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14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151.1124, 154.0252, 177.0915, 179.0702, 195.0117, 195.0672, 195.1020, 195.1368, 239.0563, 239.0917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4.806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(2</w:t>
            </w:r>
            <w:r>
              <w:rPr>
                <w:rFonts w:hint="default" w:ascii="Times New Roman Italic" w:hAnsi="Times New Roman Italic" w:eastAsia="宋体" w:cs="Times New Roman Italic"/>
                <w:i/>
                <w:iCs/>
                <w:kern w:val="0"/>
                <w:sz w:val="15"/>
                <w:szCs w:val="15"/>
                <w:highlight w:val="none"/>
                <w:lang w:bidi="ar"/>
              </w:rPr>
              <w:t>R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)-2-butoxybutanedioic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14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99.0813, 127.0762, 129.0554, 145.0867, 171.0661, 189.0763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4.902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Suberic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14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 Regular" w:hAnsi="Times New Roman Regular" w:eastAsia="Times New Roman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111.0813, 129.0918, 173.0814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Fatty Acyls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4.921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Isoquercitrin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21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 Regular" w:hAnsi="Times New Roman Regular" w:eastAsia="Times New Roman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271.024, 300.0268, 463.0867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4.921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(</w:t>
            </w:r>
            <w:r>
              <w:rPr>
                <w:rFonts w:hint="default" w:ascii="Times New Roman Italic" w:hAnsi="Times New Roman Italic" w:eastAsia="宋体" w:cs="Times New Roman Italic"/>
                <w:i/>
                <w:iCs/>
                <w:kern w:val="0"/>
                <w:sz w:val="15"/>
                <w:szCs w:val="15"/>
                <w:highlight w:val="none"/>
                <w:lang w:bidi="ar"/>
              </w:rPr>
              <w:t>E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)-P-Coumaricacid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 Regular" w:hAnsi="Times New Roman Regular" w:eastAsia="Times New Roman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119.0499, 163.0397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4.960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Ethyl gallate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125.0241, 169.0138, 197.045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4.960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Ellagic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14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300.9984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5.016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3-(3-Hydroxyphenyl)propanoic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 Regular" w:hAnsi="Times New Roman Regular" w:eastAsia="Times New Roman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72.993, 93.0345, 119.05, 121.0293, 121.0656, 147.0448, 151.0033, 165.0216, 165.0552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5.055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1-Deoxyeucommiol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default" w:ascii="Times New Roman Regular" w:hAnsi="Times New Roman Regular" w:eastAsia="Times New Roman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155.1074, 171.1027, 217.1075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5.111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Isoferulic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134.037, 137.0242, 149.0604, 149.0966, 178.0266, 192.9958, 193.0137, 193.05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kern w:val="0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5.129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Quercitrin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21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151.0398, 175.0395, 255.0293, 284.032, 285.0396, 447.0907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5.129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Kaempferol 3-O-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val="en-US" w:eastAsia="zh-CN" w:bidi="ar"/>
              </w:rPr>
              <w:t>β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-D-glucuronide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21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113.0242, 175.0243, 285.0397, 461.071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5.168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Isorhamnetin-3-O-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β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-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glucoside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243.0291, 271.024, 285.0397, 314.0424, 477.1029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5.263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11,13-dihydrolactucin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18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5"/>
                <w:szCs w:val="15"/>
                <w:highlight w:val="none"/>
              </w:rPr>
              <w:t>555.2235,259.0292,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5"/>
                <w:szCs w:val="15"/>
                <w:highlight w:val="none"/>
              </w:rPr>
              <w:t xml:space="preserve">215.1025 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5.397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Trilobatin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21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24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M-H2O-H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297.0759, 417.1194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5.434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6-Oxooctanoic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14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59.0137, 72.993, 113.097, 141.0918, 143.0708, 185.0812, 203.0919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5.568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L-α-Hydroxyarbusculin A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10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10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87.0084, 247.1323, 265.0706, 265.1069, 265.1427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5.721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Ethyl 3,4-dihydroxybenzoate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109.0292, 137.0968, 151.0033, 152.011, 153.019, 166.0267, 181.0503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Carboxylic acid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29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5.739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8-deoxylactucin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259.0215, 259.0974, 261.0393, 261.0767, 261.1119, 261.1472, 269.1050, 269.1390, 287.0925, 305.0249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3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5.971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3,4,5-Trimethoxyhydrocinnamic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137.0241, 149.0604, 193.0501, 239.092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3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6.109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Coronopolin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10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10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9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125.0605, 139.0762, 151.0761, 152.084, 153.0918, 201.1281, 204.115, 219.1386, 263.0921, 263.1279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6.129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Torachrysone-8-O-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val="en-US" w:eastAsia="zh-CN" w:bidi="ar"/>
              </w:rPr>
              <w:t>β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-D-glucoside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24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230.0578, 245.0814, 407.1324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Quinones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6.210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Morin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151.0033, 178.9982, 301.0347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6.433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V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accaxanthone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M-H2O-H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269.045, 313.0348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6.495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Ethyl Caffeic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11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135.0449, 161.0241, 179.0346, 207.0657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6.535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5-(2,5-dihydrofuran-3-yl)-2-methyl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ent-3-en-2-ol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151.1124, 169.123, 213.0915, 213.1125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6.594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val="en-US" w:eastAsia="zh-CN" w:bidi="ar"/>
              </w:rPr>
              <w:t>β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,13-Dihydrolactucopicrin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23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24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215.1072, 216.1105, 259.0970, 260.1003, 277.1072, 278.1109, 349.1436, 365.1947, 393.1335, 411.1421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6.636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Lactucopicrin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23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107.05, 151.0398, 185.0969, 195.0808, 198.0682, 213.0917, 239.0707, 257.0814, 275.092, 409.1278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b/>
                <w:bCs/>
                <w:i/>
                <w:iCs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39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6.837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Olibanumol B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18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M+FA-H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87.0086, 153.1281, 197.1179, 215.1283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4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7.018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Kaempferol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285.0398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4</w:t>
            </w: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7.223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Traumatic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165.128, 183.1385, 227.1283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Fatty Acyls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7.672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Isotrifoliol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253.05, 297.0397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9.979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Emodin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10</w:t>
            </w:r>
            <w:r>
              <w:rPr>
                <w:rStyle w:val="8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7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269.045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Quinones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12.167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3-Hydroxypalmitic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32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M-H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225.2222, 271.2271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Fatty Acids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4.091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3,4-Dihydroxybenzaldehyde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7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6</w:t>
            </w:r>
            <w:r>
              <w:rPr>
                <w:rStyle w:val="6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5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65.0391, 93.0337, 111.0441, 139.0386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4.383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Salicyl alcohol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7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79.0546, 95.0494, 107.0492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4.474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Caffeic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7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8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107.0492, 133.0281, 135.0437, 139.5287, 145.028, 163.0381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4.492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Paeonilactone B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9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8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73.0288, 125.0595, 151.0386, 151.0745, 179.0697, 197.0805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4.700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3-Hydroxybenzaldehyde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67.0546, 81.0703, 95.0494, 95.0857, 123.0442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4.924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Quercetin 3-O-</w:t>
            </w: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val="en-US" w:eastAsia="zh-CN" w:bidi="ar"/>
              </w:rPr>
              <w:t>β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-D-glucofuranoside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7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303.0488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4.981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Lactucin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11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11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11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255.0618, 299.0877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4.981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Isovanillin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65.0391, 93.0337, 107.0856, 110.0364, 111.0441, 125.0595, 135.08, 153.0542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5.106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Syringaldehyde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95.0494, 113.9636, 123.0439, 123.0801, 137.0958, 140.0465, 155.0699, 165.0905, 183.0647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Phenols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5.106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Ferulic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9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117.0335, 145.028, 149.0593, 163.0385, 177.0541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Organic acids and derivatives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5.125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Isochlorogenic acid C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163.0385, 319.08, 499.1218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5.161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Scopoletin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133.0282, 193.0491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5.179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Brassicin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8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317.0645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5.252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Austricine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199.1114, 203.1058, 217.1215, 227.1053, 227.1268, 245.1162, 245.1369, 263.0526, 263.0888, 263.1262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59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5.342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B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ritannilactone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149.0954, 157.1006, 175.1112, 175.1474, 185.1321, 203.1424, 231.1373, 249.1467, 267.1190, 267.1553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5.381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Aloeresin 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247.0956, 301.1063, 309.0954, 331.1164, 349.1266, 393.1314, 419.1478, 437.1582, 513.1740, 557.1996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Quinones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5.418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sololiolide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29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107.0856, 133.1009, 135.1165, 161.0955, 179.106, 197.1164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5.418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Ononin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261.0411, 269.08, 413.1241, 431.1278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5.581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ec-hydroxyaegineticacid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151.0749, 261.1844, 271.1681, 289.1786, 307.0599, 307.1173, 307.1513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N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orcarotenoids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5.581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Sinapaldehyde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12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12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12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153.0542, 163.0755, 163.1112, 173.0957, 177.0542, 181.0853, 191.0698, 191.1058, 191.1417, 209.0802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5.636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Barrelin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173.0957, 173.1318, 187.1111, 191.1063, 201.1268, 205.1217, 219.1375, 229.1217, 247.1319, 265.1412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5.804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3,4-Dimethoxycinnamic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163.1113, 191.0697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5.901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Isorhapontigenin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167.0849, 169.1006, 183.0798, 185.0954, 189.0533, 195.08, 213.0903, 217.0492, 241.0851, 259.0957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6.096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Chinensiolide B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201.0905, 201.1268, 205.0848, 205.1213, 211.1109, 219.1375, 229.0859, 229.1216, 247.0941, 247.1318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69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6.196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Quercetin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303.049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6.236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Calycosin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10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270.0524, 253.0570,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cs="Times New Roman Regular"/>
                <w:sz w:val="15"/>
                <w:szCs w:val="15"/>
                <w:highlight w:val="none"/>
              </w:rPr>
              <w:t>225.0545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Flavonoids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71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6.295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Syringaresinol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315.0851, 323.1262, 330.1084, 339.1219, 343.1160, 351.1214, 369.1324, 371.1481, 383.1480, 401.1595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Phenylpropanoids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6.614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Pseudolaric Acid C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197.0956, 198.0991, 215.1061, 216.1094, 233.1160, 243.1009, 244.1045, 261.1112, 262.1145, 413.1158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6.635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2,3,11,13-Tetrahydrohelenalin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21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26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289.1393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6.794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4α,5α-epoxy-6α-hydroxyamorphan-12-oic acid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14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14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M+Na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273.1837, 291.1197, 291.156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75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7.295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Santonin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24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145.1007, 173.0956, 174.1031, 183.1164, 201.1268, 229.1216, 247.1319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76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7.576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11β,13-dihydroreynosin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18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M+H-H2O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119.0855, 131.0853, 145.1008, 157.1008, 159.1164, 177.0905, 187.1476, 215.1423, 233.1154, 233.1527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77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8.216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Blumenol C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15</w:t>
            </w:r>
            <w:r>
              <w:rPr>
                <w:rStyle w:val="14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22</w:t>
            </w:r>
            <w:r>
              <w:rPr>
                <w:rStyle w:val="14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Style w:val="13"/>
                <w:rFonts w:hint="default" w:ascii="Times New Roman Regular" w:hAnsi="Times New Roman Regular" w:cs="Times New Roman Regular"/>
                <w:color w:val="auto"/>
                <w:sz w:val="15"/>
                <w:szCs w:val="15"/>
                <w:highlight w:val="none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M+NH4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137.0959, 147.1167, 149.1321, 151.1479, 175.1479, 193.1585, 211.1679, 228.1013, 228.1586, 228.1964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78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9.339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Dehydrophytosphingosine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13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60.0449, 280.262, 298.273, 316.2837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Sphingolipids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79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9.482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Piperine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18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37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NO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135.0437, 201.0541, 286.1427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Alkaloids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80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9.562</w:t>
            </w:r>
          </w:p>
        </w:tc>
        <w:tc>
          <w:tcPr>
            <w:tcW w:w="24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Nardosinone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17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19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NO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M+NH4</w:t>
            </w:r>
          </w:p>
        </w:tc>
        <w:tc>
          <w:tcPr>
            <w:tcW w:w="22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95.0859, 159.1157, 177.1634, 187.1477, 189.1632, 205.1583, 233.1527, 251.1633, 268.1898</w:t>
            </w:r>
          </w:p>
        </w:tc>
        <w:tc>
          <w:tcPr>
            <w:tcW w:w="184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Terpenes</w:t>
            </w:r>
          </w:p>
        </w:tc>
      </w:tr>
      <w:tr>
        <w:trPr>
          <w:trHeight w:val="170" w:hRule="atLeast"/>
          <w:jc w:val="center"/>
        </w:trPr>
        <w:tc>
          <w:tcPr>
            <w:tcW w:w="675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  <w:t>81</w:t>
            </w:r>
          </w:p>
        </w:tc>
        <w:tc>
          <w:tcPr>
            <w:tcW w:w="1134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9.624</w:t>
            </w:r>
          </w:p>
        </w:tc>
        <w:tc>
          <w:tcPr>
            <w:tcW w:w="2410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Phytosphingosine</w:t>
            </w:r>
          </w:p>
        </w:tc>
        <w:tc>
          <w:tcPr>
            <w:tcW w:w="1134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C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15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H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22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O</w:t>
            </w: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vertAlign w:val="subscript"/>
                <w:lang w:bidi="ar"/>
              </w:rPr>
              <w:t>3</w:t>
            </w:r>
          </w:p>
        </w:tc>
        <w:tc>
          <w:tcPr>
            <w:tcW w:w="1134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M+H</w:t>
            </w:r>
          </w:p>
        </w:tc>
        <w:tc>
          <w:tcPr>
            <w:tcW w:w="2268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60.045, 282.2782, 300.289, 318.2993</w:t>
            </w:r>
          </w:p>
        </w:tc>
        <w:tc>
          <w:tcPr>
            <w:tcW w:w="1843" w:type="dxa"/>
            <w:tcBorders>
              <w:bottom w:val="single" w:color="000000" w:sz="12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Times New Roman Regular" w:hAnsi="Times New Roman Regular" w:cs="Times New Roman Regular"/>
                <w:sz w:val="15"/>
                <w:szCs w:val="15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kern w:val="0"/>
                <w:sz w:val="15"/>
                <w:szCs w:val="15"/>
                <w:highlight w:val="none"/>
                <w:lang w:bidi="ar"/>
              </w:rPr>
              <w:t>Sphingolipids</w:t>
            </w:r>
          </w:p>
        </w:tc>
      </w:tr>
    </w:tbl>
    <w:p>
      <w:pPr>
        <w:jc w:val="center"/>
        <w:rPr>
          <w:rFonts w:hint="eastAsia" w:ascii="Times New Roman Regular" w:hAnsi="Times New Roman Regular" w:eastAsia="宋体" w:cs="Times New Roman Regular"/>
          <w:sz w:val="32"/>
          <w:szCs w:val="32"/>
          <w:highlight w:val="none"/>
        </w:rPr>
      </w:pPr>
    </w:p>
    <w:p>
      <w:pPr>
        <w:jc w:val="center"/>
        <w:rPr>
          <w:rFonts w:hint="default" w:ascii="Times New Roman Bold" w:hAnsi="Times New Roman Bold" w:eastAsia="宋体" w:cs="Times New Roman Bold"/>
          <w:b/>
          <w:bCs/>
          <w:sz w:val="18"/>
          <w:szCs w:val="18"/>
          <w:highlight w:val="none"/>
        </w:rPr>
      </w:pPr>
      <w:r>
        <w:rPr>
          <w:rFonts w:hint="default" w:ascii="Times New Roman Bold" w:hAnsi="Times New Roman Bold" w:eastAsia="-webkit-standard" w:cs="Times New Roman Bold"/>
          <w:b/>
          <w:bCs/>
          <w:color w:val="000000"/>
          <w:kern w:val="0"/>
          <w:sz w:val="18"/>
          <w:szCs w:val="18"/>
          <w:highlight w:val="none"/>
          <w:lang w:bidi="ar"/>
        </w:rPr>
        <w:t xml:space="preserve">Table S4 </w:t>
      </w:r>
      <w:r>
        <w:rPr>
          <w:rFonts w:hint="default" w:ascii="Times New Roman" w:hAnsi="Times New Roman" w:eastAsia="宋体" w:cs="Times New Roman"/>
          <w:b w:val="0"/>
          <w:bCs w:val="0"/>
          <w:sz w:val="18"/>
          <w:szCs w:val="18"/>
          <w:highlight w:val="none"/>
        </w:rPr>
        <w:t>Primers for RT-qPCR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7"/>
        <w:gridCol w:w="1095"/>
        <w:gridCol w:w="3332"/>
        <w:gridCol w:w="2968"/>
      </w:tblGrid>
      <w:tr>
        <w:trPr>
          <w:trHeight w:val="313" w:hRule="atLeast"/>
        </w:trPr>
        <w:tc>
          <w:tcPr>
            <w:tcW w:w="1143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Gene</w:t>
            </w:r>
          </w:p>
        </w:tc>
        <w:tc>
          <w:tcPr>
            <w:tcW w:w="1124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default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Species</w:t>
            </w:r>
          </w:p>
        </w:tc>
        <w:tc>
          <w:tcPr>
            <w:tcW w:w="3359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Forward Primer</w:t>
            </w:r>
          </w:p>
        </w:tc>
        <w:tc>
          <w:tcPr>
            <w:tcW w:w="2896" w:type="dxa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Reverse Primer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HMOX1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TCCTTGTACCATATCTACACGG</w:t>
            </w:r>
          </w:p>
        </w:tc>
        <w:tc>
          <w:tcPr>
            <w:tcW w:w="2896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GAGACGCTTTACATAGTGCTGT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CDKN1A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ATGTCCAATCCTGGTGATGTC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GAAGTCAAAGTTCCACCGTTC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THBD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GCTGTGAGTACTTGTGCAATAG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TCACACATACAGGAGTAAGAGC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RSAD2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AGTGTCAACTACCACTTCACTC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GGTTCTCCTCCAGAAAAGTTGA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SLC2A4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TATTCAACCAGCATCTTCGAGT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GTCCAGCTCGTTCTACTAAGAG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BCL6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AACCATACAAATGTGATCGCTG</w:t>
            </w: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CACAAATGTTACAGCGATAGGG</w:t>
            </w:r>
          </w:p>
        </w:tc>
      </w:tr>
      <w:tr>
        <w:trPr>
          <w:trHeight w:val="313" w:hRule="atLeast"/>
        </w:trPr>
        <w:tc>
          <w:tcPr>
            <w:tcW w:w="1143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TGFβ3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Mouse</w:t>
            </w:r>
          </w:p>
        </w:tc>
        <w:tc>
          <w:tcPr>
            <w:tcW w:w="3359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ATCAAGAAGAAGAGGGTGGAAG</w:t>
            </w:r>
          </w:p>
        </w:tc>
        <w:tc>
          <w:tcPr>
            <w:tcW w:w="2896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</w:pPr>
            <w:r>
              <w:rPr>
                <w:rFonts w:hint="eastAsia" w:ascii="Times New Roman Regular" w:hAnsi="Times New Roman Regular" w:eastAsia="宋体" w:cs="Times New Roman Regular"/>
                <w:sz w:val="18"/>
                <w:szCs w:val="18"/>
                <w:highlight w:val="none"/>
              </w:rPr>
              <w:t>GTAAAGTGCCAGGACCTGATAG</w:t>
            </w:r>
          </w:p>
        </w:tc>
      </w:tr>
    </w:tbl>
    <w:p>
      <w:pPr>
        <w:jc w:val="center"/>
        <w:rPr>
          <w:rFonts w:hint="eastAsia" w:ascii="Times New Roman Regular" w:hAnsi="Times New Roman Regular" w:eastAsia="宋体" w:cs="Times New Roman Regular"/>
          <w:sz w:val="18"/>
          <w:szCs w:val="18"/>
          <w:highlight w:val="none"/>
        </w:rPr>
      </w:pPr>
    </w:p>
    <w:p>
      <w:pPr>
        <w:jc w:val="center"/>
        <w:rPr>
          <w:rFonts w:hint="eastAsia" w:ascii="Times New Roman Regular" w:hAnsi="Times New Roman Regular" w:eastAsia="宋体" w:cs="Times New Roman Regular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-webkit-standard">
    <w:altName w:val="苹方-简"/>
    <w:panose1 w:val="020B0604020202020204"/>
    <w:charset w:val="00"/>
    <w:family w:val="roman"/>
    <w:pitch w:val="default"/>
    <w:sig w:usb0="00000000" w:usb1="00000000" w:usb2="00000000" w:usb3="00000000" w:csb0="00000000" w:csb1="00000000"/>
  </w:font>
  <w:font w:name="Times New Roman Italic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Times New Roman Bold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@宋体">
    <w:altName w:val="汉仪书宋二KW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altName w:val="苹方-简"/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Cambria Math">
    <w:altName w:val="Kingsoft Math"/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Kingsoft Math">
    <w:panose1 w:val="0204050305040603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BD70678"/>
    <w:rsid w:val="000A2C22"/>
    <w:rsid w:val="00260A8B"/>
    <w:rsid w:val="008457B9"/>
    <w:rsid w:val="00C26CF6"/>
    <w:rsid w:val="00C96903"/>
    <w:rsid w:val="6C4FF92E"/>
    <w:rsid w:val="B6FF827C"/>
    <w:rsid w:val="BBD70678"/>
    <w:rsid w:val="DFFB3A46"/>
    <w:rsid w:val="DFFED1B5"/>
    <w:rsid w:val="EFFFF684"/>
    <w:rsid w:val="FF7F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2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51"/>
    <w:basedOn w:val="4"/>
    <w:uiPriority w:val="0"/>
    <w:rPr>
      <w:rFonts w:hint="eastAsia" w:ascii="宋体" w:hAnsi="宋体" w:eastAsia="宋体" w:cs="宋体"/>
      <w:color w:val="FF0000"/>
      <w:sz w:val="22"/>
      <w:szCs w:val="22"/>
      <w:u w:val="none"/>
      <w:vertAlign w:val="subscript"/>
    </w:rPr>
  </w:style>
  <w:style w:type="character" w:customStyle="1" w:styleId="6">
    <w:name w:val="font11"/>
    <w:basedOn w:val="4"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7">
    <w:name w:val="font6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bscript"/>
    </w:rPr>
  </w:style>
  <w:style w:type="character" w:customStyle="1" w:styleId="8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9">
    <w:name w:val="font71"/>
    <w:basedOn w:val="4"/>
    <w:uiPriority w:val="0"/>
    <w:rPr>
      <w:rFonts w:hint="eastAsia" w:ascii="宋体" w:hAnsi="宋体" w:eastAsia="宋体" w:cs="宋体"/>
      <w:color w:val="00B050"/>
      <w:sz w:val="22"/>
      <w:szCs w:val="22"/>
      <w:u w:val="none"/>
      <w:vertAlign w:val="subscript"/>
    </w:rPr>
  </w:style>
  <w:style w:type="character" w:customStyle="1" w:styleId="10">
    <w:name w:val="font21"/>
    <w:basedOn w:val="4"/>
    <w:uiPriority w:val="0"/>
    <w:rPr>
      <w:rFonts w:hint="eastAsia" w:ascii="宋体" w:hAnsi="宋体" w:eastAsia="宋体" w:cs="宋体"/>
      <w:color w:val="00B050"/>
      <w:sz w:val="22"/>
      <w:szCs w:val="22"/>
      <w:u w:val="none"/>
    </w:rPr>
  </w:style>
  <w:style w:type="character" w:customStyle="1" w:styleId="11">
    <w:name w:val="font81"/>
    <w:basedOn w:val="4"/>
    <w:uiPriority w:val="0"/>
    <w:rPr>
      <w:rFonts w:hint="eastAsia" w:ascii="宋体" w:hAnsi="宋体" w:eastAsia="宋体" w:cs="宋体"/>
      <w:color w:val="00B050"/>
      <w:sz w:val="22"/>
      <w:szCs w:val="22"/>
      <w:u w:val="none"/>
      <w:vertAlign w:val="subscript"/>
    </w:rPr>
  </w:style>
  <w:style w:type="character" w:customStyle="1" w:styleId="12">
    <w:name w:val="font91"/>
    <w:basedOn w:val="4"/>
    <w:uiPriority w:val="0"/>
    <w:rPr>
      <w:rFonts w:hint="eastAsia" w:ascii="宋体" w:hAnsi="宋体" w:eastAsia="宋体" w:cs="宋体"/>
      <w:color w:val="00B0F0"/>
      <w:sz w:val="22"/>
      <w:szCs w:val="22"/>
      <w:u w:val="none"/>
      <w:vertAlign w:val="subscript"/>
    </w:rPr>
  </w:style>
  <w:style w:type="character" w:customStyle="1" w:styleId="13">
    <w:name w:val="font1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bscript"/>
    </w:rPr>
  </w:style>
  <w:style w:type="character" w:customStyle="1" w:styleId="14">
    <w:name w:val="font4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1485</Words>
  <Characters>8471</Characters>
  <Lines>70</Lines>
  <Paragraphs>19</Paragraphs>
  <TotalTime>50</TotalTime>
  <ScaleCrop>false</ScaleCrop>
  <LinksUpToDate>false</LinksUpToDate>
  <CharactersWithSpaces>9937</CharactersWithSpaces>
  <Application>WPS Office_6.0.0.8068_F1E327BC-269C-435d-A152-05C5408002CA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2024-11-06T08:59:00Z</dcterms:created>
  <dc:creator>Isla</dc:creator>
  <cp:lastModifiedBy>Isla</cp:lastModifiedBy>
  <dcterms:modified xsi:type="dcterms:W3CDTF">2025-01-08T16:43:35Z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2052-6.0.0.8068</vt:lpwstr>
  </property>
  <property fmtid="{D5CDD505-2E9C-101B-9397-08002B2CF9AE}" pid="3" name="ICV">
    <vt:lpwstr>9DBBE855D5E6DABB006E2967D1CA3C9B_41</vt:lpwstr>
  </property>
</Properties>
</file>