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TIF" ContentType="image/tiff"/>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DFC565D" w14:textId="17184944" w:rsidR="00922BAA" w:rsidRDefault="00922BAA" w:rsidP="00922BAA">
      <w:pPr>
        <w:pStyle w:val="NormalWeb"/>
        <w:spacing w:before="240" w:beforeAutospacing="0" w:after="0" w:afterAutospacing="0" w:line="260" w:lineRule="atLeast"/>
        <w:jc w:val="both"/>
        <w:rPr>
          <w:rFonts w:ascii="Palatino Linotype" w:hAnsi="Palatino Linotype"/>
          <w:bCs/>
          <w:i/>
          <w:sz w:val="20"/>
          <w:szCs w:val="20"/>
          <w:lang w:val="en-ZA"/>
        </w:rPr>
      </w:pPr>
      <w:r w:rsidRPr="0031672C">
        <w:rPr>
          <w:rFonts w:ascii="Palatino Linotype" w:hAnsi="Palatino Linotype"/>
          <w:bCs/>
          <w:i/>
          <w:sz w:val="20"/>
          <w:szCs w:val="20"/>
          <w:lang w:val="en-ZA"/>
        </w:rPr>
        <w:t>Research article</w:t>
      </w:r>
      <w:r>
        <w:rPr>
          <w:rFonts w:ascii="Palatino Linotype" w:hAnsi="Palatino Linotype"/>
          <w:bCs/>
          <w:i/>
          <w:sz w:val="20"/>
          <w:szCs w:val="20"/>
          <w:lang w:val="en-ZA"/>
        </w:rPr>
        <w:t xml:space="preserve"> – Supplementary data</w:t>
      </w:r>
    </w:p>
    <w:p w14:paraId="19BF85A7" w14:textId="77777777" w:rsidR="00922BAA" w:rsidRPr="0031672C" w:rsidRDefault="00922BAA" w:rsidP="00922BAA">
      <w:pPr>
        <w:pStyle w:val="NormalWeb"/>
        <w:spacing w:before="240" w:beforeAutospacing="0" w:after="0" w:afterAutospacing="0" w:line="260" w:lineRule="atLeast"/>
        <w:jc w:val="both"/>
        <w:rPr>
          <w:rFonts w:ascii="Palatino Linotype" w:hAnsi="Palatino Linotype"/>
          <w:bCs/>
          <w:i/>
          <w:sz w:val="20"/>
          <w:szCs w:val="20"/>
          <w:lang w:val="en-ZA"/>
        </w:rPr>
      </w:pPr>
    </w:p>
    <w:p w14:paraId="1B0FAEA6" w14:textId="77777777" w:rsidR="00255BC4" w:rsidRPr="002B6DAE" w:rsidRDefault="00255BC4" w:rsidP="00255BC4">
      <w:pPr>
        <w:pStyle w:val="MDPI12title"/>
        <w:rPr>
          <w:lang w:val="en-GB"/>
        </w:rPr>
      </w:pPr>
      <w:r w:rsidRPr="002B6DAE">
        <w:rPr>
          <w:lang w:val="en-GB"/>
        </w:rPr>
        <w:t xml:space="preserve">Differential Metabolic Reprogramming in </w:t>
      </w:r>
      <w:r w:rsidRPr="002B6DAE">
        <w:rPr>
          <w:i/>
          <w:lang w:val="en-GB"/>
        </w:rPr>
        <w:t>Paenibacillus</w:t>
      </w:r>
      <w:r w:rsidRPr="002B6DAE">
        <w:rPr>
          <w:lang w:val="en-GB"/>
        </w:rPr>
        <w:t xml:space="preserve"> </w:t>
      </w:r>
      <w:r w:rsidRPr="002B6DAE">
        <w:rPr>
          <w:i/>
          <w:lang w:val="en-GB"/>
        </w:rPr>
        <w:t>alvei</w:t>
      </w:r>
      <w:r w:rsidRPr="002B6DAE">
        <w:rPr>
          <w:lang w:val="en-GB"/>
        </w:rPr>
        <w:t xml:space="preserve">-Primed </w:t>
      </w:r>
      <w:r w:rsidRPr="002B6DAE">
        <w:rPr>
          <w:i/>
          <w:lang w:val="en-GB"/>
        </w:rPr>
        <w:t>Sorghum</w:t>
      </w:r>
      <w:r w:rsidRPr="002B6DAE">
        <w:rPr>
          <w:lang w:val="en-GB"/>
        </w:rPr>
        <w:t xml:space="preserve"> </w:t>
      </w:r>
      <w:r w:rsidRPr="002B6DAE">
        <w:rPr>
          <w:i/>
          <w:lang w:val="en-GB"/>
        </w:rPr>
        <w:t>bicolor</w:t>
      </w:r>
      <w:r w:rsidRPr="002B6DAE">
        <w:rPr>
          <w:lang w:val="en-GB"/>
        </w:rPr>
        <w:t xml:space="preserve"> Seedlings in Response to </w:t>
      </w:r>
      <w:r w:rsidRPr="002B6DAE">
        <w:rPr>
          <w:i/>
          <w:lang w:val="en-GB"/>
        </w:rPr>
        <w:t>Fusarium pseudograminearum</w:t>
      </w:r>
      <w:r w:rsidRPr="002B6DAE">
        <w:rPr>
          <w:lang w:val="en-GB"/>
        </w:rPr>
        <w:t xml:space="preserve"> Infection</w:t>
      </w:r>
    </w:p>
    <w:p w14:paraId="43ABDB8A" w14:textId="77777777" w:rsidR="00255BC4" w:rsidRPr="002B6DAE" w:rsidRDefault="00255BC4" w:rsidP="00255BC4">
      <w:pPr>
        <w:pStyle w:val="MDPI13authornames"/>
        <w:rPr>
          <w:spacing w:val="-2"/>
          <w:lang w:val="en-GB"/>
        </w:rPr>
      </w:pPr>
      <w:bookmarkStart w:id="0" w:name="_GoBack"/>
      <w:r w:rsidRPr="00255BC4">
        <w:rPr>
          <w:color w:val="auto"/>
          <w:spacing w:val="-2"/>
          <w:lang w:val="en-GB"/>
        </w:rPr>
        <w:t xml:space="preserve">René Carlson </w:t>
      </w:r>
      <w:r w:rsidRPr="00255BC4">
        <w:rPr>
          <w:color w:val="auto"/>
          <w:spacing w:val="-2"/>
          <w:vertAlign w:val="superscript"/>
          <w:lang w:val="en-GB"/>
        </w:rPr>
        <w:t>1</w:t>
      </w:r>
      <w:r w:rsidRPr="00255BC4">
        <w:rPr>
          <w:color w:val="auto"/>
          <w:spacing w:val="-2"/>
          <w:lang w:val="en-GB"/>
        </w:rPr>
        <w:t>,</w:t>
      </w:r>
      <w:bookmarkEnd w:id="0"/>
      <w:r w:rsidRPr="00255BC4">
        <w:rPr>
          <w:color w:val="auto"/>
          <w:spacing w:val="-2"/>
          <w:lang w:val="en-GB"/>
        </w:rPr>
        <w:t xml:space="preserve"> Fidele </w:t>
      </w:r>
      <w:r w:rsidRPr="002B6DAE">
        <w:rPr>
          <w:spacing w:val="-2"/>
          <w:lang w:val="en-GB"/>
        </w:rPr>
        <w:t xml:space="preserve">Tugizimana </w:t>
      </w:r>
      <w:r w:rsidRPr="002B6DAE">
        <w:rPr>
          <w:spacing w:val="-2"/>
          <w:vertAlign w:val="superscript"/>
          <w:lang w:val="en-GB"/>
        </w:rPr>
        <w:t>2</w:t>
      </w:r>
      <w:r w:rsidRPr="002B6DAE">
        <w:rPr>
          <w:spacing w:val="-2"/>
          <w:lang w:val="en-GB"/>
        </w:rPr>
        <w:t xml:space="preserve">, Paul A. Steenkamp </w:t>
      </w:r>
      <w:r w:rsidRPr="002B6DAE">
        <w:rPr>
          <w:spacing w:val="-2"/>
          <w:vertAlign w:val="superscript"/>
          <w:lang w:val="en-GB"/>
        </w:rPr>
        <w:t>2</w:t>
      </w:r>
      <w:r w:rsidRPr="002B6DAE">
        <w:rPr>
          <w:spacing w:val="-2"/>
          <w:lang w:val="en-GB"/>
        </w:rPr>
        <w:t xml:space="preserve">, Ian A. Dubery </w:t>
      </w:r>
      <w:r w:rsidRPr="002B6DAE">
        <w:rPr>
          <w:spacing w:val="-2"/>
          <w:vertAlign w:val="superscript"/>
          <w:lang w:val="en-GB"/>
        </w:rPr>
        <w:t>2</w:t>
      </w:r>
      <w:r w:rsidRPr="002B6DAE">
        <w:rPr>
          <w:spacing w:val="-2"/>
          <w:lang w:val="en-GB"/>
        </w:rPr>
        <w:t xml:space="preserve"> and Nico Labuschagne </w:t>
      </w:r>
      <w:r w:rsidRPr="002B6DAE">
        <w:rPr>
          <w:spacing w:val="-2"/>
          <w:vertAlign w:val="superscript"/>
          <w:lang w:val="en-GB"/>
        </w:rPr>
        <w:t>1,</w:t>
      </w:r>
      <w:r w:rsidRPr="002B6DAE">
        <w:rPr>
          <w:spacing w:val="-2"/>
          <w:lang w:val="en-GB"/>
        </w:rPr>
        <w:t>*</w:t>
      </w:r>
    </w:p>
    <w:p w14:paraId="331210AE" w14:textId="77777777" w:rsidR="00255BC4" w:rsidRPr="002B6DAE" w:rsidRDefault="00255BC4" w:rsidP="00255BC4">
      <w:pPr>
        <w:pStyle w:val="MDPI16affiliation"/>
        <w:rPr>
          <w:lang w:val="en-GB"/>
        </w:rPr>
      </w:pPr>
      <w:bookmarkStart w:id="1" w:name="OLE_LINK46"/>
      <w:bookmarkStart w:id="2" w:name="OLE_LINK47"/>
      <w:bookmarkStart w:id="3" w:name="OLE_LINK48"/>
      <w:bookmarkStart w:id="4" w:name="OLE_LINK49"/>
      <w:r w:rsidRPr="002B6DAE">
        <w:rPr>
          <w:vertAlign w:val="superscript"/>
          <w:lang w:val="en-GB"/>
        </w:rPr>
        <w:t>1</w:t>
      </w:r>
      <w:bookmarkEnd w:id="1"/>
      <w:bookmarkEnd w:id="2"/>
      <w:r w:rsidRPr="002B6DAE">
        <w:rPr>
          <w:lang w:val="en-GB"/>
        </w:rPr>
        <w:tab/>
      </w:r>
      <w:r w:rsidRPr="008D6FD5">
        <w:rPr>
          <w:lang w:val="en-ZA"/>
        </w:rPr>
        <w:t xml:space="preserve">Department of Plant and Soil Sciences, </w:t>
      </w:r>
      <w:r>
        <w:rPr>
          <w:lang w:val="en-ZA"/>
        </w:rPr>
        <w:t>Faculty of Plant Pathology</w:t>
      </w:r>
      <w:r w:rsidRPr="008D6FD5">
        <w:rPr>
          <w:lang w:val="en-ZA"/>
        </w:rPr>
        <w:t>, University of Pretoria, Private Bag X20, Hatfield, Pretoria, 0028, South Africa</w:t>
      </w:r>
      <w:bookmarkEnd w:id="3"/>
      <w:bookmarkEnd w:id="4"/>
    </w:p>
    <w:p w14:paraId="5716AAFE" w14:textId="77777777" w:rsidR="00255BC4" w:rsidRPr="002B6DAE" w:rsidRDefault="00255BC4" w:rsidP="00255BC4">
      <w:pPr>
        <w:pStyle w:val="MDPI16affiliation"/>
        <w:rPr>
          <w:b/>
          <w:lang w:val="en-GB"/>
        </w:rPr>
      </w:pPr>
      <w:r w:rsidRPr="002B6DAE">
        <w:rPr>
          <w:vertAlign w:val="superscript"/>
          <w:lang w:val="en-GB"/>
        </w:rPr>
        <w:t>2</w:t>
      </w:r>
      <w:r w:rsidRPr="002B6DAE">
        <w:rPr>
          <w:lang w:val="en-GB"/>
        </w:rPr>
        <w:tab/>
      </w:r>
      <w:r w:rsidRPr="008D6FD5">
        <w:rPr>
          <w:lang w:val="en-ZA"/>
        </w:rPr>
        <w:t xml:space="preserve">Centre for Plant Metabolomics Research, Department of Biochemistry, </w:t>
      </w:r>
      <w:r w:rsidRPr="008D6FD5">
        <w:rPr>
          <w:bCs/>
        </w:rPr>
        <w:t>Faculty of Science, University of Johannesburg, P.O. Box 524, Auckland Park, Johannesburg, South Africa</w:t>
      </w:r>
    </w:p>
    <w:p w14:paraId="1BAAAC91" w14:textId="77777777" w:rsidR="00255BC4" w:rsidRPr="002B6DAE" w:rsidRDefault="00255BC4" w:rsidP="00255BC4">
      <w:pPr>
        <w:pStyle w:val="MDPI16affiliation"/>
        <w:rPr>
          <w:lang w:val="en-GB"/>
        </w:rPr>
      </w:pPr>
      <w:r w:rsidRPr="002B6DAE">
        <w:rPr>
          <w:lang w:val="en-GB"/>
        </w:rPr>
        <w:t>*</w:t>
      </w:r>
      <w:r w:rsidRPr="002B6DAE">
        <w:rPr>
          <w:lang w:val="en-GB"/>
        </w:rPr>
        <w:tab/>
        <w:t xml:space="preserve">Correspondence: </w:t>
      </w:r>
      <w:hyperlink r:id="rId8" w:history="1">
        <w:r w:rsidRPr="002B6DAE">
          <w:rPr>
            <w:rStyle w:val="Hyperlink"/>
            <w:lang w:val="en-GB"/>
          </w:rPr>
          <w:t>nico.labuschagne@up.ac.za</w:t>
        </w:r>
      </w:hyperlink>
      <w:r w:rsidRPr="002B6DAE">
        <w:rPr>
          <w:lang w:val="en-GB"/>
        </w:rPr>
        <w:t>; Tel.: +27-827-807-849</w:t>
      </w:r>
    </w:p>
    <w:p w14:paraId="7DAAE56D" w14:textId="77777777" w:rsidR="00255BC4" w:rsidRPr="002B6DAE" w:rsidRDefault="00255BC4" w:rsidP="00255BC4">
      <w:pPr>
        <w:pStyle w:val="MDPI14history"/>
        <w:rPr>
          <w:lang w:val="en-GB"/>
        </w:rPr>
      </w:pPr>
      <w:r w:rsidRPr="002B6DAE">
        <w:rPr>
          <w:lang w:val="en-GB"/>
        </w:rPr>
        <w:t xml:space="preserve">Received: </w:t>
      </w:r>
      <w:r>
        <w:t>25 April 2019</w:t>
      </w:r>
      <w:r w:rsidRPr="002B6DAE">
        <w:rPr>
          <w:lang w:val="en-GB"/>
        </w:rPr>
        <w:t xml:space="preserve">; Accepted: </w:t>
      </w:r>
      <w:r>
        <w:t>10 July 2019</w:t>
      </w:r>
      <w:r w:rsidRPr="002B6DAE">
        <w:rPr>
          <w:lang w:val="en-GB"/>
        </w:rPr>
        <w:t xml:space="preserve">; Published: date </w:t>
      </w:r>
    </w:p>
    <w:p w14:paraId="02691EA9" w14:textId="658DCAF3" w:rsidR="00922BAA" w:rsidRDefault="00922BAA">
      <w:pPr>
        <w:rPr>
          <w:rFonts w:ascii="Palatino Linotype" w:hAnsi="Palatino Linotype"/>
          <w:b/>
          <w:sz w:val="20"/>
          <w:szCs w:val="20"/>
        </w:rPr>
      </w:pPr>
    </w:p>
    <w:p w14:paraId="7FC24BD1" w14:textId="3B4C8A79" w:rsidR="00095F62" w:rsidRPr="00A21B37" w:rsidRDefault="00095F62" w:rsidP="00A21B37">
      <w:pPr>
        <w:widowControl w:val="0"/>
        <w:autoSpaceDE w:val="0"/>
        <w:autoSpaceDN w:val="0"/>
        <w:adjustRightInd w:val="0"/>
        <w:spacing w:before="100" w:after="100" w:line="260" w:lineRule="atLeast"/>
        <w:jc w:val="both"/>
        <w:rPr>
          <w:rFonts w:ascii="Palatino Linotype" w:hAnsi="Palatino Linotype"/>
          <w:sz w:val="20"/>
          <w:szCs w:val="20"/>
        </w:rPr>
      </w:pPr>
      <w:r w:rsidRPr="00A21B37">
        <w:rPr>
          <w:rFonts w:ascii="Palatino Linotype" w:hAnsi="Palatino Linotype"/>
          <w:b/>
          <w:sz w:val="20"/>
          <w:szCs w:val="20"/>
        </w:rPr>
        <w:t>Supplementary material</w:t>
      </w:r>
      <w:r w:rsidR="00772C33">
        <w:rPr>
          <w:rFonts w:ascii="Palatino Linotype" w:hAnsi="Palatino Linotype"/>
          <w:b/>
          <w:sz w:val="20"/>
          <w:szCs w:val="20"/>
        </w:rPr>
        <w:t>s</w:t>
      </w:r>
    </w:p>
    <w:p w14:paraId="5BE39F96" w14:textId="69A410F8" w:rsidR="00095F62" w:rsidRPr="00A21B37" w:rsidRDefault="00095F62" w:rsidP="00A21B37">
      <w:pPr>
        <w:pStyle w:val="NormalWeb"/>
        <w:spacing w:line="260" w:lineRule="atLeast"/>
        <w:jc w:val="both"/>
        <w:rPr>
          <w:rFonts w:ascii="Palatino Linotype" w:hAnsi="Palatino Linotype"/>
          <w:sz w:val="20"/>
          <w:szCs w:val="20"/>
        </w:rPr>
      </w:pPr>
      <w:r w:rsidRPr="00A21B37">
        <w:rPr>
          <w:rFonts w:ascii="Palatino Linotype" w:hAnsi="Palatino Linotype"/>
          <w:sz w:val="20"/>
          <w:szCs w:val="20"/>
        </w:rPr>
        <w:t xml:space="preserve">Considering the enormous scale of the raw data in addition to the extent of the treatment interactions [Treatment (4) </w:t>
      </w:r>
      <w:r w:rsidRPr="00A21B37">
        <w:rPr>
          <w:rFonts w:ascii="Palatino Linotype" w:hAnsi="Palatino Linotype"/>
          <w:sz w:val="20"/>
          <w:szCs w:val="20"/>
        </w:rPr>
        <w:sym w:font="Symbol" w:char="F0B4"/>
      </w:r>
      <w:r w:rsidRPr="00A21B37">
        <w:rPr>
          <w:rFonts w:ascii="Palatino Linotype" w:hAnsi="Palatino Linotype"/>
          <w:sz w:val="20"/>
          <w:szCs w:val="20"/>
        </w:rPr>
        <w:t xml:space="preserve"> Time-interval (3) </w:t>
      </w:r>
      <w:r w:rsidRPr="00A21B37">
        <w:rPr>
          <w:rFonts w:ascii="Palatino Linotype" w:hAnsi="Palatino Linotype"/>
          <w:sz w:val="20"/>
          <w:szCs w:val="20"/>
        </w:rPr>
        <w:sym w:font="Symbol" w:char="F0B4"/>
      </w:r>
      <w:r w:rsidRPr="00A21B37">
        <w:rPr>
          <w:rFonts w:ascii="Palatino Linotype" w:hAnsi="Palatino Linotype"/>
          <w:sz w:val="20"/>
          <w:szCs w:val="20"/>
        </w:rPr>
        <w:t xml:space="preserve"> Tissue (3) </w:t>
      </w:r>
      <w:r w:rsidRPr="00A21B37">
        <w:rPr>
          <w:rFonts w:ascii="Palatino Linotype" w:hAnsi="Palatino Linotype"/>
          <w:sz w:val="20"/>
          <w:szCs w:val="20"/>
        </w:rPr>
        <w:sym w:font="Symbol" w:char="F0B4"/>
      </w:r>
      <w:r w:rsidRPr="00A21B37">
        <w:rPr>
          <w:rFonts w:ascii="Palatino Linotype" w:hAnsi="Palatino Linotype"/>
          <w:sz w:val="20"/>
          <w:szCs w:val="20"/>
        </w:rPr>
        <w:t xml:space="preserve"> ESI-charge (2)], not all of the chemometric models were included here, but can be made available upon request.</w:t>
      </w:r>
    </w:p>
    <w:p w14:paraId="0D5BB1AF" w14:textId="2F45A2C1" w:rsidR="00095F62" w:rsidRPr="00A21B37" w:rsidRDefault="00095F62" w:rsidP="00A21B37">
      <w:pPr>
        <w:spacing w:line="260" w:lineRule="atLeast"/>
        <w:jc w:val="center"/>
        <w:rPr>
          <w:rFonts w:ascii="Palatino Linotype" w:hAnsi="Palatino Linotype"/>
          <w:sz w:val="20"/>
          <w:szCs w:val="20"/>
        </w:rPr>
      </w:pPr>
      <w:r w:rsidRPr="00A21B37">
        <w:rPr>
          <w:rFonts w:ascii="Palatino Linotype" w:hAnsi="Palatino Linotype"/>
          <w:noProof/>
          <w:sz w:val="20"/>
          <w:szCs w:val="20"/>
          <w:lang w:eastAsia="en-ZA"/>
        </w:rPr>
        <w:drawing>
          <wp:inline distT="0" distB="0" distL="0" distR="0" wp14:anchorId="7423002C" wp14:editId="7DCA8D65">
            <wp:extent cx="5040000" cy="2233946"/>
            <wp:effectExtent l="0" t="0" r="1905"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porodochia.png"/>
                    <pic:cNvPicPr/>
                  </pic:nvPicPr>
                  <pic:blipFill>
                    <a:blip r:embed="rId9"/>
                    <a:stretch>
                      <a:fillRect/>
                    </a:stretch>
                  </pic:blipFill>
                  <pic:spPr>
                    <a:xfrm>
                      <a:off x="0" y="0"/>
                      <a:ext cx="5040000" cy="2233946"/>
                    </a:xfrm>
                    <a:prstGeom prst="rect">
                      <a:avLst/>
                    </a:prstGeom>
                  </pic:spPr>
                </pic:pic>
              </a:graphicData>
            </a:graphic>
          </wp:inline>
        </w:drawing>
      </w:r>
    </w:p>
    <w:p w14:paraId="11BC5062" w14:textId="0E4FAC5B" w:rsidR="00095F62" w:rsidRPr="00A21B37" w:rsidRDefault="00095F62" w:rsidP="00A21B37">
      <w:pPr>
        <w:spacing w:before="120" w:after="240" w:line="260" w:lineRule="atLeast"/>
        <w:ind w:left="425" w:right="425"/>
        <w:jc w:val="both"/>
        <w:rPr>
          <w:rFonts w:ascii="Palatino Linotype" w:hAnsi="Palatino Linotype"/>
          <w:sz w:val="18"/>
          <w:szCs w:val="18"/>
        </w:rPr>
      </w:pPr>
      <w:r w:rsidRPr="00A21B37">
        <w:rPr>
          <w:rFonts w:ascii="Palatino Linotype" w:hAnsi="Palatino Linotype"/>
          <w:b/>
          <w:sz w:val="18"/>
          <w:szCs w:val="18"/>
        </w:rPr>
        <w:t>Figure S1.</w:t>
      </w:r>
      <w:r w:rsidRPr="00A21B37">
        <w:rPr>
          <w:rFonts w:ascii="Palatino Linotype" w:hAnsi="Palatino Linotype"/>
          <w:sz w:val="18"/>
          <w:szCs w:val="18"/>
        </w:rPr>
        <w:t xml:space="preserve"> (</w:t>
      </w:r>
      <w:r w:rsidRPr="00D46DBA">
        <w:rPr>
          <w:rFonts w:ascii="Palatino Linotype" w:hAnsi="Palatino Linotype"/>
          <w:b/>
          <w:sz w:val="18"/>
          <w:szCs w:val="18"/>
        </w:rPr>
        <w:t>A</w:t>
      </w:r>
      <w:r w:rsidRPr="00A21B37">
        <w:rPr>
          <w:rFonts w:ascii="Palatino Linotype" w:hAnsi="Palatino Linotype"/>
          <w:sz w:val="18"/>
          <w:szCs w:val="18"/>
        </w:rPr>
        <w:t xml:space="preserve">) Microscopic identification of </w:t>
      </w:r>
      <w:r w:rsidRPr="00A21B37">
        <w:rPr>
          <w:rFonts w:ascii="Palatino Linotype" w:hAnsi="Palatino Linotype"/>
          <w:i/>
          <w:sz w:val="18"/>
          <w:szCs w:val="18"/>
        </w:rPr>
        <w:t>F</w:t>
      </w:r>
      <w:r w:rsidR="00C67842">
        <w:rPr>
          <w:rFonts w:ascii="Palatino Linotype" w:hAnsi="Palatino Linotype"/>
          <w:i/>
          <w:sz w:val="18"/>
          <w:szCs w:val="18"/>
        </w:rPr>
        <w:t>usarium</w:t>
      </w:r>
      <w:r w:rsidRPr="00A21B37">
        <w:rPr>
          <w:rFonts w:ascii="Palatino Linotype" w:hAnsi="Palatino Linotype"/>
          <w:i/>
          <w:sz w:val="18"/>
          <w:szCs w:val="18"/>
        </w:rPr>
        <w:t xml:space="preserve"> pseudograminearum</w:t>
      </w:r>
      <w:r w:rsidRPr="00A21B37">
        <w:rPr>
          <w:rFonts w:ascii="Palatino Linotype" w:hAnsi="Palatino Linotype"/>
          <w:sz w:val="18"/>
          <w:szCs w:val="18"/>
        </w:rPr>
        <w:t xml:space="preserve"> at 400× magnification. The grey arrow indicates the widest position of the sporodochial conidium. (</w:t>
      </w:r>
      <w:r w:rsidRPr="00D46DBA">
        <w:rPr>
          <w:rFonts w:ascii="Palatino Linotype" w:hAnsi="Palatino Linotype"/>
          <w:b/>
          <w:sz w:val="18"/>
          <w:szCs w:val="18"/>
        </w:rPr>
        <w:t>B</w:t>
      </w:r>
      <w:r w:rsidRPr="00A21B37">
        <w:rPr>
          <w:rFonts w:ascii="Palatino Linotype" w:hAnsi="Palatino Linotype"/>
          <w:sz w:val="18"/>
          <w:szCs w:val="18"/>
        </w:rPr>
        <w:t xml:space="preserve">) Conidial morphology of </w:t>
      </w:r>
      <w:r w:rsidRPr="00A21B37">
        <w:rPr>
          <w:rFonts w:ascii="Palatino Linotype" w:hAnsi="Palatino Linotype"/>
          <w:i/>
          <w:sz w:val="18"/>
          <w:szCs w:val="18"/>
        </w:rPr>
        <w:t xml:space="preserve">F. pseudograminearum </w:t>
      </w:r>
      <w:r w:rsidRPr="00A21B37">
        <w:rPr>
          <w:rFonts w:ascii="Palatino Linotype" w:hAnsi="Palatino Linotype"/>
          <w:sz w:val="18"/>
          <w:szCs w:val="18"/>
        </w:rPr>
        <w:t xml:space="preserve">taken from Aoki </w:t>
      </w:r>
      <w:r w:rsidRPr="00A21B37">
        <w:rPr>
          <w:rFonts w:ascii="Palatino Linotype" w:hAnsi="Palatino Linotype"/>
          <w:i/>
          <w:sz w:val="18"/>
          <w:szCs w:val="18"/>
        </w:rPr>
        <w:t>et al.</w:t>
      </w:r>
      <w:r w:rsidRPr="00A21B37">
        <w:rPr>
          <w:rFonts w:ascii="Palatino Linotype" w:hAnsi="Palatino Linotype"/>
          <w:sz w:val="18"/>
          <w:szCs w:val="18"/>
        </w:rPr>
        <w:t xml:space="preserve"> </w:t>
      </w:r>
      <w:r w:rsidRPr="00A21B37">
        <w:rPr>
          <w:rStyle w:val="FootnoteReference"/>
          <w:rFonts w:ascii="Palatino Linotype" w:hAnsi="Palatino Linotype"/>
          <w:sz w:val="18"/>
          <w:szCs w:val="18"/>
        </w:rPr>
        <w:fldChar w:fldCharType="begin" w:fldLock="1"/>
      </w:r>
      <w:r w:rsidRPr="00A21B37">
        <w:rPr>
          <w:rFonts w:ascii="Palatino Linotype" w:hAnsi="Palatino Linotype"/>
          <w:sz w:val="18"/>
          <w:szCs w:val="18"/>
        </w:rPr>
        <w:instrText>ADDIN CSL_CITATION {"citationItems":[{"id":"ITEM-1","itemData":{"DOI":"10.1007/bf02461021","ISBN":"1340-3540","ISSN":"13403540","author":[{"dropping-particle":"","family":"Aoki","given":"Takayuki;","non-dropping-particle":"","parse-names":false,"suffix":""},{"dropping-particle":"","family":"O'Donnell","given":"Kerry","non-dropping-particle":"","parse-names":false,"suffix":""}],"container-title":"Mycoscience","id":"ITEM-1","issued":{"date-parts":[["1999"]]},"page":"443-453","title":"Morphological characterization of Gibberella coronicola sp. nov., obtained through mating experiments of Fusarium pseudograminearum","type":"article-journal","volume":"40"},"uris":["http://www.mendeley.com/documents/?uuid=de16757f-b744-4e88-b06b-332097432406"]}],"mendeley":{"formattedCitation":"[59]","plainTextFormattedCitation":"[59]","previouslyFormattedCitation":"[59]"},"properties":{"noteIndex":0},"schema":"https://github.com/citation-style-language/schema/raw/master/csl-citation.json"}</w:instrText>
      </w:r>
      <w:r w:rsidRPr="00A21B37">
        <w:rPr>
          <w:rStyle w:val="FootnoteReference"/>
          <w:rFonts w:ascii="Palatino Linotype" w:hAnsi="Palatino Linotype"/>
          <w:sz w:val="18"/>
          <w:szCs w:val="18"/>
        </w:rPr>
        <w:fldChar w:fldCharType="separate"/>
      </w:r>
      <w:r w:rsidRPr="00A21B37">
        <w:rPr>
          <w:rFonts w:ascii="Palatino Linotype" w:hAnsi="Palatino Linotype"/>
          <w:noProof/>
          <w:sz w:val="18"/>
          <w:szCs w:val="18"/>
        </w:rPr>
        <w:t>[59]</w:t>
      </w:r>
      <w:r w:rsidRPr="00A21B37">
        <w:rPr>
          <w:rStyle w:val="FootnoteReference"/>
          <w:rFonts w:ascii="Palatino Linotype" w:hAnsi="Palatino Linotype"/>
          <w:sz w:val="18"/>
          <w:szCs w:val="18"/>
        </w:rPr>
        <w:fldChar w:fldCharType="end"/>
      </w:r>
      <w:r w:rsidRPr="00A21B37">
        <w:rPr>
          <w:rFonts w:ascii="Palatino Linotype" w:hAnsi="Palatino Linotype"/>
          <w:sz w:val="18"/>
          <w:szCs w:val="18"/>
        </w:rPr>
        <w:t>.</w:t>
      </w:r>
    </w:p>
    <w:p w14:paraId="00646FDC" w14:textId="77777777" w:rsidR="00095F62" w:rsidRPr="00A21B37" w:rsidRDefault="00095F62" w:rsidP="00A21B37">
      <w:pPr>
        <w:spacing w:line="260" w:lineRule="atLeast"/>
        <w:rPr>
          <w:rFonts w:ascii="Palatino Linotype" w:hAnsi="Palatino Linotype"/>
          <w:sz w:val="20"/>
          <w:szCs w:val="20"/>
        </w:rPr>
      </w:pPr>
    </w:p>
    <w:p w14:paraId="2823FD80" w14:textId="77777777" w:rsidR="00095F62" w:rsidRPr="00A21B37" w:rsidRDefault="00095F62" w:rsidP="00A21B37">
      <w:pPr>
        <w:spacing w:line="260" w:lineRule="atLeast"/>
        <w:rPr>
          <w:rFonts w:ascii="Palatino Linotype" w:hAnsi="Palatino Linotype"/>
          <w:b/>
          <w:sz w:val="20"/>
          <w:szCs w:val="20"/>
        </w:rPr>
      </w:pPr>
    </w:p>
    <w:p w14:paraId="0DB5B0A9" w14:textId="45CB5C8C" w:rsidR="00095F62" w:rsidRPr="00A21B37" w:rsidRDefault="00095F62" w:rsidP="00A21B37">
      <w:pPr>
        <w:spacing w:line="260" w:lineRule="atLeast"/>
        <w:jc w:val="center"/>
        <w:rPr>
          <w:rFonts w:ascii="Palatino Linotype" w:hAnsi="Palatino Linotype"/>
          <w:b/>
          <w:sz w:val="20"/>
          <w:szCs w:val="20"/>
        </w:rPr>
      </w:pPr>
      <w:r w:rsidRPr="00A21B37">
        <w:rPr>
          <w:rFonts w:ascii="Palatino Linotype" w:hAnsi="Palatino Linotype"/>
          <w:noProof/>
          <w:sz w:val="20"/>
          <w:szCs w:val="20"/>
          <w:lang w:eastAsia="en-ZA"/>
        </w:rPr>
        <w:lastRenderedPageBreak/>
        <w:drawing>
          <wp:inline distT="0" distB="0" distL="0" distR="0" wp14:anchorId="5E9F4DCE" wp14:editId="2078CA41">
            <wp:extent cx="5040000" cy="2487613"/>
            <wp:effectExtent l="0" t="0" r="1905" b="190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040000" cy="2487613"/>
                    </a:xfrm>
                    <a:prstGeom prst="rect">
                      <a:avLst/>
                    </a:prstGeom>
                    <a:noFill/>
                    <a:ln>
                      <a:noFill/>
                    </a:ln>
                  </pic:spPr>
                </pic:pic>
              </a:graphicData>
            </a:graphic>
          </wp:inline>
        </w:drawing>
      </w:r>
    </w:p>
    <w:p w14:paraId="0E470855" w14:textId="7C06E2ED" w:rsidR="00095F62" w:rsidRPr="00A21B37" w:rsidRDefault="00095F62" w:rsidP="00A21B37">
      <w:pPr>
        <w:spacing w:before="120" w:after="240" w:line="260" w:lineRule="atLeast"/>
        <w:ind w:left="425" w:right="425"/>
        <w:jc w:val="both"/>
        <w:rPr>
          <w:rFonts w:ascii="Palatino Linotype" w:hAnsi="Palatino Linotype"/>
          <w:color w:val="000000" w:themeColor="text1"/>
          <w:sz w:val="18"/>
          <w:szCs w:val="18"/>
        </w:rPr>
      </w:pPr>
      <w:r w:rsidRPr="00A21B37">
        <w:rPr>
          <w:rFonts w:ascii="Palatino Linotype" w:hAnsi="Palatino Linotype"/>
          <w:b/>
          <w:sz w:val="18"/>
          <w:szCs w:val="18"/>
        </w:rPr>
        <w:t>Figure S2.</w:t>
      </w:r>
      <w:r w:rsidRPr="00A21B37">
        <w:rPr>
          <w:rFonts w:ascii="Palatino Linotype" w:hAnsi="Palatino Linotype"/>
          <w:sz w:val="18"/>
          <w:szCs w:val="18"/>
        </w:rPr>
        <w:t xml:space="preserve"> </w:t>
      </w:r>
      <w:r w:rsidRPr="00A21B37">
        <w:rPr>
          <w:rFonts w:ascii="Palatino Linotype" w:hAnsi="Palatino Linotype"/>
          <w:color w:val="000000" w:themeColor="text1"/>
          <w:sz w:val="18"/>
          <w:szCs w:val="18"/>
        </w:rPr>
        <w:t>UHPLC-</w:t>
      </w:r>
      <w:r w:rsidR="00255BC4">
        <w:rPr>
          <w:rFonts w:ascii="Palatino Linotype" w:hAnsi="Palatino Linotype"/>
          <w:color w:val="000000" w:themeColor="text1"/>
          <w:sz w:val="18"/>
          <w:szCs w:val="18"/>
        </w:rPr>
        <w:t>HD</w:t>
      </w:r>
      <w:r w:rsidRPr="00A21B37">
        <w:rPr>
          <w:rFonts w:ascii="Palatino Linotype" w:hAnsi="Palatino Linotype"/>
          <w:color w:val="000000" w:themeColor="text1"/>
          <w:sz w:val="18"/>
          <w:szCs w:val="18"/>
        </w:rPr>
        <w:t xml:space="preserve">MS BPI chromatograms of ESI-positive data indicating the metabolomic profiles of untreated (black), naïve infected (blue) and primed infected (green) stems obtained at 1 d.p.i. with </w:t>
      </w:r>
      <w:r w:rsidRPr="00A21B37">
        <w:rPr>
          <w:rFonts w:ascii="Palatino Linotype" w:hAnsi="Palatino Linotype"/>
          <w:i/>
          <w:color w:val="000000" w:themeColor="text1"/>
          <w:sz w:val="18"/>
          <w:szCs w:val="18"/>
        </w:rPr>
        <w:t>F. pseudograminearum</w:t>
      </w:r>
      <w:r w:rsidRPr="00A21B37">
        <w:rPr>
          <w:rFonts w:ascii="Palatino Linotype" w:hAnsi="Palatino Linotype"/>
          <w:color w:val="000000" w:themeColor="text1"/>
          <w:sz w:val="18"/>
          <w:szCs w:val="18"/>
        </w:rPr>
        <w:t>.</w:t>
      </w:r>
    </w:p>
    <w:p w14:paraId="56175C8D" w14:textId="77777777" w:rsidR="00095F62" w:rsidRPr="00A21B37" w:rsidRDefault="00095F62" w:rsidP="00A21B37">
      <w:pPr>
        <w:spacing w:line="260" w:lineRule="atLeast"/>
        <w:jc w:val="both"/>
        <w:rPr>
          <w:rFonts w:ascii="Palatino Linotype" w:hAnsi="Palatino Linotype"/>
          <w:color w:val="000000" w:themeColor="text1"/>
          <w:sz w:val="20"/>
          <w:szCs w:val="20"/>
        </w:rPr>
      </w:pPr>
    </w:p>
    <w:p w14:paraId="5946657D" w14:textId="77777777" w:rsidR="00095F62" w:rsidRPr="00A21B37" w:rsidRDefault="00095F62" w:rsidP="00A21B37">
      <w:pPr>
        <w:spacing w:line="260" w:lineRule="atLeast"/>
        <w:jc w:val="both"/>
        <w:rPr>
          <w:rFonts w:ascii="Palatino Linotype" w:hAnsi="Palatino Linotype"/>
          <w:color w:val="000000" w:themeColor="text1"/>
          <w:sz w:val="20"/>
          <w:szCs w:val="20"/>
        </w:rPr>
      </w:pPr>
    </w:p>
    <w:p w14:paraId="115B98BC" w14:textId="21D1D4D5" w:rsidR="00095F62" w:rsidRPr="00A21B37" w:rsidRDefault="00095F62" w:rsidP="00A21B37">
      <w:pPr>
        <w:spacing w:line="260" w:lineRule="atLeast"/>
        <w:jc w:val="center"/>
        <w:rPr>
          <w:rFonts w:ascii="Palatino Linotype" w:hAnsi="Palatino Linotype"/>
          <w:sz w:val="20"/>
          <w:szCs w:val="20"/>
        </w:rPr>
      </w:pPr>
      <w:r w:rsidRPr="00A21B37">
        <w:rPr>
          <w:rFonts w:ascii="Palatino Linotype" w:hAnsi="Palatino Linotype"/>
          <w:noProof/>
          <w:sz w:val="20"/>
          <w:szCs w:val="20"/>
          <w:lang w:eastAsia="en-ZA"/>
        </w:rPr>
        <w:drawing>
          <wp:inline distT="0" distB="0" distL="0" distR="0" wp14:anchorId="54F3E11A" wp14:editId="2B0F72D8">
            <wp:extent cx="5040000" cy="2487613"/>
            <wp:effectExtent l="0" t="0" r="1905" b="190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040000" cy="2487613"/>
                    </a:xfrm>
                    <a:prstGeom prst="rect">
                      <a:avLst/>
                    </a:prstGeom>
                    <a:noFill/>
                    <a:ln>
                      <a:noFill/>
                    </a:ln>
                  </pic:spPr>
                </pic:pic>
              </a:graphicData>
            </a:graphic>
          </wp:inline>
        </w:drawing>
      </w:r>
    </w:p>
    <w:p w14:paraId="01FF2AA9" w14:textId="76063D09" w:rsidR="00095F62" w:rsidRPr="00A21B37" w:rsidRDefault="00095F62" w:rsidP="00A21B37">
      <w:pPr>
        <w:spacing w:before="120" w:after="240" w:line="240" w:lineRule="atLeast"/>
        <w:ind w:left="425" w:right="425"/>
        <w:jc w:val="both"/>
        <w:rPr>
          <w:rFonts w:ascii="Palatino Linotype" w:hAnsi="Palatino Linotype"/>
          <w:sz w:val="18"/>
          <w:szCs w:val="18"/>
        </w:rPr>
      </w:pPr>
      <w:r w:rsidRPr="00A21B37">
        <w:rPr>
          <w:rFonts w:ascii="Palatino Linotype" w:hAnsi="Palatino Linotype"/>
          <w:b/>
          <w:sz w:val="18"/>
          <w:szCs w:val="18"/>
        </w:rPr>
        <w:t>Figure S3.</w:t>
      </w:r>
      <w:r w:rsidRPr="00A21B37">
        <w:rPr>
          <w:rFonts w:ascii="Palatino Linotype" w:hAnsi="Palatino Linotype"/>
          <w:sz w:val="18"/>
          <w:szCs w:val="18"/>
        </w:rPr>
        <w:t xml:space="preserve"> </w:t>
      </w:r>
      <w:r w:rsidRPr="00A21B37">
        <w:rPr>
          <w:rFonts w:ascii="Palatino Linotype" w:hAnsi="Palatino Linotype"/>
          <w:color w:val="000000" w:themeColor="text1"/>
          <w:sz w:val="18"/>
          <w:szCs w:val="18"/>
        </w:rPr>
        <w:t>UHPLC-</w:t>
      </w:r>
      <w:r w:rsidR="00255BC4">
        <w:rPr>
          <w:rFonts w:ascii="Palatino Linotype" w:hAnsi="Palatino Linotype"/>
          <w:color w:val="000000" w:themeColor="text1"/>
          <w:sz w:val="18"/>
          <w:szCs w:val="18"/>
        </w:rPr>
        <w:t>HD</w:t>
      </w:r>
      <w:r w:rsidRPr="00A21B37">
        <w:rPr>
          <w:rFonts w:ascii="Palatino Linotype" w:hAnsi="Palatino Linotype"/>
          <w:color w:val="000000" w:themeColor="text1"/>
          <w:sz w:val="18"/>
          <w:szCs w:val="18"/>
        </w:rPr>
        <w:t xml:space="preserve">MS BPI chromatograms of ESI-positive data indicating the metabolomic profiles of untreated (black), naïve infected (blue) and primed infected (green) leaves obtained at 1 d.p.i. with </w:t>
      </w:r>
      <w:r w:rsidRPr="00A21B37">
        <w:rPr>
          <w:rFonts w:ascii="Palatino Linotype" w:hAnsi="Palatino Linotype"/>
          <w:i/>
          <w:color w:val="000000" w:themeColor="text1"/>
          <w:sz w:val="18"/>
          <w:szCs w:val="18"/>
        </w:rPr>
        <w:t>F. pseudograminearum.</w:t>
      </w:r>
      <w:r w:rsidRPr="00A21B37">
        <w:rPr>
          <w:rFonts w:ascii="Palatino Linotype" w:hAnsi="Palatino Linotype"/>
          <w:sz w:val="18"/>
          <w:szCs w:val="18"/>
        </w:rPr>
        <w:t xml:space="preserve"> </w:t>
      </w:r>
    </w:p>
    <w:p w14:paraId="35143803" w14:textId="790D4CE4" w:rsidR="00095F62" w:rsidRPr="00A21B37" w:rsidRDefault="00095F62" w:rsidP="00A21B37">
      <w:pPr>
        <w:spacing w:line="260" w:lineRule="atLeast"/>
        <w:rPr>
          <w:rFonts w:ascii="Palatino Linotype" w:hAnsi="Palatino Linotype"/>
          <w:sz w:val="20"/>
          <w:szCs w:val="20"/>
        </w:rPr>
      </w:pPr>
    </w:p>
    <w:p w14:paraId="63B5A1C8" w14:textId="783FD1C5" w:rsidR="00095F62" w:rsidRPr="00A21B37" w:rsidRDefault="00A21B37" w:rsidP="00A21B37">
      <w:pPr>
        <w:spacing w:before="240" w:line="260" w:lineRule="atLeast"/>
        <w:jc w:val="center"/>
        <w:rPr>
          <w:rFonts w:ascii="Palatino Linotype" w:hAnsi="Palatino Linotype"/>
          <w:b/>
          <w:sz w:val="20"/>
          <w:szCs w:val="20"/>
        </w:rPr>
      </w:pPr>
      <w:r>
        <w:rPr>
          <w:rFonts w:ascii="Palatino Linotype" w:hAnsi="Palatino Linotype"/>
          <w:b/>
          <w:noProof/>
          <w:sz w:val="20"/>
          <w:szCs w:val="20"/>
          <w:lang w:eastAsia="en-ZA"/>
        </w:rPr>
        <w:lastRenderedPageBreak/>
        <w:drawing>
          <wp:inline distT="0" distB="0" distL="0" distR="0" wp14:anchorId="435F7205" wp14:editId="35F0A87F">
            <wp:extent cx="4680000" cy="2851786"/>
            <wp:effectExtent l="0" t="0" r="6350" b="571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CA ISRESISTANCE stems POS.TIF"/>
                    <pic:cNvPicPr/>
                  </pic:nvPicPr>
                  <pic:blipFill>
                    <a:blip r:embed="rId12"/>
                    <a:stretch>
                      <a:fillRect/>
                    </a:stretch>
                  </pic:blipFill>
                  <pic:spPr>
                    <a:xfrm>
                      <a:off x="0" y="0"/>
                      <a:ext cx="4680000" cy="2851786"/>
                    </a:xfrm>
                    <a:prstGeom prst="rect">
                      <a:avLst/>
                    </a:prstGeom>
                  </pic:spPr>
                </pic:pic>
              </a:graphicData>
            </a:graphic>
          </wp:inline>
        </w:drawing>
      </w:r>
    </w:p>
    <w:p w14:paraId="4A0C6C91" w14:textId="0291AE09" w:rsidR="00095F62" w:rsidRPr="00A21B37" w:rsidRDefault="00095F62" w:rsidP="00A21B37">
      <w:pPr>
        <w:spacing w:before="120" w:after="240" w:line="260" w:lineRule="atLeast"/>
        <w:ind w:left="425" w:right="425"/>
        <w:jc w:val="both"/>
        <w:rPr>
          <w:rFonts w:ascii="Palatino Linotype" w:hAnsi="Palatino Linotype"/>
          <w:sz w:val="18"/>
          <w:szCs w:val="18"/>
        </w:rPr>
      </w:pPr>
      <w:r w:rsidRPr="00A21B37">
        <w:rPr>
          <w:rFonts w:ascii="Palatino Linotype" w:hAnsi="Palatino Linotype"/>
          <w:b/>
          <w:sz w:val="18"/>
          <w:szCs w:val="18"/>
        </w:rPr>
        <w:t xml:space="preserve">Figure S4. </w:t>
      </w:r>
      <w:r w:rsidRPr="00A21B37">
        <w:rPr>
          <w:rFonts w:ascii="Palatino Linotype" w:hAnsi="Palatino Linotype"/>
          <w:sz w:val="18"/>
          <w:szCs w:val="18"/>
        </w:rPr>
        <w:t>PCA score / scatter plot of stem samples computed from ESI-positive data representing the first two PCs of a</w:t>
      </w:r>
      <w:r w:rsidRPr="00A21B37">
        <w:rPr>
          <w:rFonts w:ascii="Palatino Linotype" w:hAnsi="Palatino Linotype"/>
          <w:color w:val="000000"/>
          <w:sz w:val="18"/>
          <w:szCs w:val="18"/>
        </w:rPr>
        <w:t xml:space="preserve">n </w:t>
      </w:r>
      <w:r w:rsidRPr="00A21B37">
        <w:rPr>
          <w:rFonts w:ascii="Palatino Linotype" w:hAnsi="Palatino Linotype"/>
          <w:color w:val="000000" w:themeColor="text1"/>
          <w:sz w:val="18"/>
          <w:szCs w:val="18"/>
        </w:rPr>
        <w:t xml:space="preserve">18-component </w:t>
      </w:r>
      <w:r w:rsidRPr="00A21B37">
        <w:rPr>
          <w:rFonts w:ascii="Palatino Linotype" w:hAnsi="Palatino Linotype"/>
          <w:color w:val="000000"/>
          <w:sz w:val="18"/>
          <w:szCs w:val="18"/>
        </w:rPr>
        <w:t xml:space="preserve">PCA model. The model explains 81.5% variation in the Pareto-scaled data </w:t>
      </w:r>
      <w:r w:rsidRPr="00A21B37">
        <w:rPr>
          <w:rFonts w:ascii="Palatino Linotype" w:hAnsi="Palatino Linotype"/>
          <w:sz w:val="18"/>
          <w:szCs w:val="18"/>
        </w:rPr>
        <w:t>(R</w:t>
      </w:r>
      <w:r w:rsidRPr="00A21B37">
        <w:rPr>
          <w:rFonts w:ascii="Palatino Linotype" w:hAnsi="Palatino Linotype"/>
          <w:sz w:val="18"/>
          <w:szCs w:val="18"/>
          <w:vertAlign w:val="superscript"/>
        </w:rPr>
        <w:t>2</w:t>
      </w:r>
      <w:r w:rsidRPr="00A21B37">
        <w:rPr>
          <w:rFonts w:ascii="Palatino Linotype" w:hAnsi="Palatino Linotype"/>
          <w:sz w:val="18"/>
          <w:szCs w:val="18"/>
        </w:rPr>
        <w:t>X = 81.5) and 61.8% predicted variation according to cross-validation (Q</w:t>
      </w:r>
      <w:r w:rsidRPr="00A21B37">
        <w:rPr>
          <w:rFonts w:ascii="Palatino Linotype" w:hAnsi="Palatino Linotype"/>
          <w:sz w:val="18"/>
          <w:szCs w:val="18"/>
          <w:vertAlign w:val="superscript"/>
        </w:rPr>
        <w:t>2</w:t>
      </w:r>
      <w:r w:rsidRPr="00A21B37">
        <w:rPr>
          <w:rFonts w:ascii="Palatino Linotype" w:hAnsi="Palatino Linotype"/>
          <w:sz w:val="18"/>
          <w:szCs w:val="18"/>
        </w:rPr>
        <w:t xml:space="preserve"> =0.618). (</w:t>
      </w:r>
      <w:r w:rsidRPr="00D46DBA">
        <w:rPr>
          <w:rFonts w:ascii="Palatino Linotype" w:hAnsi="Palatino Linotype"/>
          <w:b/>
          <w:sz w:val="18"/>
          <w:szCs w:val="18"/>
        </w:rPr>
        <w:t>A</w:t>
      </w:r>
      <w:r w:rsidRPr="00A21B37">
        <w:rPr>
          <w:rFonts w:ascii="Palatino Linotype" w:hAnsi="Palatino Linotype"/>
          <w:sz w:val="18"/>
          <w:szCs w:val="18"/>
        </w:rPr>
        <w:t>,</w:t>
      </w:r>
      <w:r w:rsidRPr="00D46DBA">
        <w:rPr>
          <w:rFonts w:ascii="Palatino Linotype" w:hAnsi="Palatino Linotype"/>
          <w:b/>
          <w:sz w:val="18"/>
          <w:szCs w:val="18"/>
        </w:rPr>
        <w:t>B</w:t>
      </w:r>
      <w:r w:rsidRPr="00A21B37">
        <w:rPr>
          <w:rFonts w:ascii="Palatino Linotype" w:hAnsi="Palatino Linotype"/>
          <w:sz w:val="18"/>
          <w:szCs w:val="18"/>
        </w:rPr>
        <w:t>) represents the same PCA scores plot with (</w:t>
      </w:r>
      <w:r w:rsidRPr="00D46DBA">
        <w:rPr>
          <w:rFonts w:ascii="Palatino Linotype" w:hAnsi="Palatino Linotype"/>
          <w:b/>
          <w:sz w:val="18"/>
          <w:szCs w:val="18"/>
        </w:rPr>
        <w:t>A</w:t>
      </w:r>
      <w:r w:rsidRPr="00A21B37">
        <w:rPr>
          <w:rFonts w:ascii="Palatino Linotype" w:hAnsi="Palatino Linotype"/>
          <w:sz w:val="18"/>
          <w:szCs w:val="18"/>
        </w:rPr>
        <w:t>) showing the treatment-related clustering and (</w:t>
      </w:r>
      <w:r w:rsidRPr="00D46DBA">
        <w:rPr>
          <w:rFonts w:ascii="Palatino Linotype" w:hAnsi="Palatino Linotype"/>
          <w:b/>
          <w:sz w:val="18"/>
          <w:szCs w:val="18"/>
        </w:rPr>
        <w:t>B</w:t>
      </w:r>
      <w:r w:rsidRPr="00A21B37">
        <w:rPr>
          <w:rFonts w:ascii="Palatino Linotype" w:hAnsi="Palatino Linotype"/>
          <w:sz w:val="18"/>
          <w:szCs w:val="18"/>
        </w:rPr>
        <w:t>) showing the time-related clustering. (</w:t>
      </w:r>
      <w:r w:rsidRPr="00D46DBA">
        <w:rPr>
          <w:rFonts w:ascii="Palatino Linotype" w:hAnsi="Palatino Linotype"/>
          <w:b/>
          <w:sz w:val="18"/>
          <w:szCs w:val="18"/>
        </w:rPr>
        <w:t>C</w:t>
      </w:r>
      <w:r w:rsidRPr="00A21B37">
        <w:rPr>
          <w:rFonts w:ascii="Palatino Linotype" w:hAnsi="Palatino Linotype"/>
          <w:sz w:val="18"/>
          <w:szCs w:val="18"/>
        </w:rPr>
        <w:t>,</w:t>
      </w:r>
      <w:r w:rsidRPr="00D46DBA">
        <w:rPr>
          <w:rFonts w:ascii="Palatino Linotype" w:hAnsi="Palatino Linotype"/>
          <w:b/>
          <w:sz w:val="18"/>
          <w:szCs w:val="18"/>
        </w:rPr>
        <w:t>D</w:t>
      </w:r>
      <w:r w:rsidRPr="00A21B37">
        <w:rPr>
          <w:rFonts w:ascii="Palatino Linotype" w:hAnsi="Palatino Linotype"/>
          <w:sz w:val="18"/>
          <w:szCs w:val="18"/>
        </w:rPr>
        <w:t>) HCA dendrogram corresponding to (</w:t>
      </w:r>
      <w:r w:rsidRPr="00D46DBA">
        <w:rPr>
          <w:rFonts w:ascii="Palatino Linotype" w:hAnsi="Palatino Linotype"/>
          <w:b/>
          <w:sz w:val="18"/>
          <w:szCs w:val="18"/>
        </w:rPr>
        <w:t>A</w:t>
      </w:r>
      <w:r w:rsidRPr="00A21B37">
        <w:rPr>
          <w:rFonts w:ascii="Palatino Linotype" w:hAnsi="Palatino Linotype"/>
          <w:sz w:val="18"/>
          <w:szCs w:val="18"/>
        </w:rPr>
        <w:t>,</w:t>
      </w:r>
      <w:r w:rsidRPr="00D46DBA">
        <w:rPr>
          <w:rFonts w:ascii="Palatino Linotype" w:hAnsi="Palatino Linotype"/>
          <w:b/>
          <w:sz w:val="18"/>
          <w:szCs w:val="18"/>
        </w:rPr>
        <w:t>B</w:t>
      </w:r>
      <w:r w:rsidRPr="00A21B37">
        <w:rPr>
          <w:rFonts w:ascii="Palatino Linotype" w:hAnsi="Palatino Linotype"/>
          <w:sz w:val="18"/>
          <w:szCs w:val="18"/>
        </w:rPr>
        <w:t xml:space="preserve">). Legend: QC: Quality control (grey); Fp: Naïve plants inoculated with </w:t>
      </w:r>
      <w:r w:rsidRPr="00A21B37">
        <w:rPr>
          <w:rFonts w:ascii="Palatino Linotype" w:hAnsi="Palatino Linotype"/>
          <w:i/>
          <w:sz w:val="18"/>
          <w:szCs w:val="18"/>
        </w:rPr>
        <w:t xml:space="preserve">F. pseudograminearum </w:t>
      </w:r>
      <w:r w:rsidRPr="00A21B37">
        <w:rPr>
          <w:rFonts w:ascii="Palatino Linotype" w:hAnsi="Palatino Linotype"/>
          <w:sz w:val="18"/>
          <w:szCs w:val="18"/>
        </w:rPr>
        <w:t xml:space="preserve">(blue); FpPGPR: </w:t>
      </w:r>
      <w:r w:rsidRPr="00A21B37">
        <w:rPr>
          <w:rFonts w:ascii="Palatino Linotype" w:hAnsi="Palatino Linotype"/>
          <w:i/>
          <w:sz w:val="18"/>
          <w:szCs w:val="18"/>
        </w:rPr>
        <w:t>P</w:t>
      </w:r>
      <w:r w:rsidR="00C67842">
        <w:rPr>
          <w:rFonts w:ascii="Palatino Linotype" w:hAnsi="Palatino Linotype"/>
          <w:i/>
          <w:sz w:val="18"/>
          <w:szCs w:val="18"/>
        </w:rPr>
        <w:t>aenibacillus</w:t>
      </w:r>
      <w:r w:rsidRPr="00A21B37">
        <w:rPr>
          <w:rFonts w:ascii="Palatino Linotype" w:hAnsi="Palatino Linotype"/>
          <w:i/>
          <w:sz w:val="18"/>
          <w:szCs w:val="18"/>
        </w:rPr>
        <w:t xml:space="preserve"> alvei</w:t>
      </w:r>
      <w:r w:rsidRPr="00A21B37">
        <w:rPr>
          <w:rFonts w:ascii="Palatino Linotype" w:hAnsi="Palatino Linotype"/>
          <w:sz w:val="18"/>
          <w:szCs w:val="18"/>
        </w:rPr>
        <w:t xml:space="preserve">-primed plants inoculated with </w:t>
      </w:r>
      <w:r w:rsidRPr="00A21B37">
        <w:rPr>
          <w:rFonts w:ascii="Palatino Linotype" w:hAnsi="Palatino Linotype"/>
          <w:i/>
          <w:sz w:val="18"/>
          <w:szCs w:val="18"/>
        </w:rPr>
        <w:t xml:space="preserve">F. pseudograminearum </w:t>
      </w:r>
      <w:r w:rsidRPr="00A21B37">
        <w:rPr>
          <w:rFonts w:ascii="Palatino Linotype" w:hAnsi="Palatino Linotype"/>
          <w:sz w:val="18"/>
          <w:szCs w:val="18"/>
        </w:rPr>
        <w:t xml:space="preserve">(green); PGPR: </w:t>
      </w:r>
      <w:r w:rsidRPr="00A21B37">
        <w:rPr>
          <w:rFonts w:ascii="Palatino Linotype" w:hAnsi="Palatino Linotype"/>
          <w:i/>
          <w:sz w:val="18"/>
          <w:szCs w:val="18"/>
        </w:rPr>
        <w:t>P. alvei</w:t>
      </w:r>
      <w:r w:rsidRPr="00A21B37">
        <w:rPr>
          <w:rFonts w:ascii="Palatino Linotype" w:hAnsi="Palatino Linotype"/>
          <w:sz w:val="18"/>
          <w:szCs w:val="18"/>
        </w:rPr>
        <w:t xml:space="preserve">-primed plants (red); Cont: Untreated plants (black); 1 d.p.i.: 1 d.p.i. with </w:t>
      </w:r>
      <w:r w:rsidRPr="00A21B37">
        <w:rPr>
          <w:rFonts w:ascii="Palatino Linotype" w:hAnsi="Palatino Linotype"/>
          <w:i/>
          <w:sz w:val="18"/>
          <w:szCs w:val="18"/>
        </w:rPr>
        <w:t xml:space="preserve">F. pseudograminearum </w:t>
      </w:r>
      <w:r w:rsidRPr="00A21B37">
        <w:rPr>
          <w:rFonts w:ascii="Palatino Linotype" w:hAnsi="Palatino Linotype"/>
          <w:sz w:val="18"/>
          <w:szCs w:val="18"/>
        </w:rPr>
        <w:t xml:space="preserve">(red); 4 d.p.i.: 4 d.p.i. with </w:t>
      </w:r>
      <w:r w:rsidRPr="00A21B37">
        <w:rPr>
          <w:rFonts w:ascii="Palatino Linotype" w:hAnsi="Palatino Linotype"/>
          <w:i/>
          <w:sz w:val="18"/>
          <w:szCs w:val="18"/>
        </w:rPr>
        <w:t xml:space="preserve">F. pseudograminearum </w:t>
      </w:r>
      <w:r w:rsidRPr="00A21B37">
        <w:rPr>
          <w:rFonts w:ascii="Palatino Linotype" w:hAnsi="Palatino Linotype"/>
          <w:sz w:val="18"/>
          <w:szCs w:val="18"/>
        </w:rPr>
        <w:t xml:space="preserve">(blue); 7 d.p.i.: 7 d.p.i. with </w:t>
      </w:r>
      <w:r w:rsidRPr="00A21B37">
        <w:rPr>
          <w:rFonts w:ascii="Palatino Linotype" w:hAnsi="Palatino Linotype"/>
          <w:i/>
          <w:sz w:val="18"/>
          <w:szCs w:val="18"/>
        </w:rPr>
        <w:t xml:space="preserve">F. pseudograminearum </w:t>
      </w:r>
      <w:r w:rsidRPr="00A21B37">
        <w:rPr>
          <w:rFonts w:ascii="Palatino Linotype" w:hAnsi="Palatino Linotype"/>
          <w:sz w:val="18"/>
          <w:szCs w:val="18"/>
        </w:rPr>
        <w:t>(green).</w:t>
      </w:r>
    </w:p>
    <w:p w14:paraId="59ADDAA1" w14:textId="77777777" w:rsidR="00095F62" w:rsidRPr="00A21B37" w:rsidRDefault="00095F62" w:rsidP="00A21B37">
      <w:pPr>
        <w:spacing w:line="260" w:lineRule="atLeast"/>
        <w:rPr>
          <w:rFonts w:ascii="Palatino Linotype" w:hAnsi="Palatino Linotype"/>
          <w:b/>
          <w:sz w:val="20"/>
          <w:szCs w:val="20"/>
        </w:rPr>
      </w:pPr>
      <w:r w:rsidRPr="00A21B37">
        <w:rPr>
          <w:rFonts w:ascii="Palatino Linotype" w:hAnsi="Palatino Linotype"/>
          <w:b/>
          <w:sz w:val="20"/>
          <w:szCs w:val="20"/>
        </w:rPr>
        <w:br w:type="page"/>
      </w:r>
    </w:p>
    <w:p w14:paraId="7DA9382A" w14:textId="3B21DE02" w:rsidR="00095F62" w:rsidRPr="00A21B37" w:rsidRDefault="00A21B37" w:rsidP="00A21B37">
      <w:pPr>
        <w:spacing w:before="240" w:line="260" w:lineRule="atLeast"/>
        <w:jc w:val="center"/>
        <w:rPr>
          <w:rFonts w:ascii="Palatino Linotype" w:hAnsi="Palatino Linotype"/>
          <w:b/>
          <w:sz w:val="20"/>
          <w:szCs w:val="20"/>
        </w:rPr>
      </w:pPr>
      <w:r>
        <w:rPr>
          <w:rFonts w:ascii="Palatino Linotype" w:hAnsi="Palatino Linotype"/>
          <w:b/>
          <w:noProof/>
          <w:sz w:val="20"/>
          <w:szCs w:val="20"/>
          <w:lang w:eastAsia="en-ZA"/>
        </w:rPr>
        <w:lastRenderedPageBreak/>
        <w:drawing>
          <wp:inline distT="0" distB="0" distL="0" distR="0" wp14:anchorId="1D4EB557" wp14:editId="31F3A015">
            <wp:extent cx="4042846" cy="25200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CA ISRESISTANCE LEAVES POS.TIF"/>
                    <pic:cNvPicPr/>
                  </pic:nvPicPr>
                  <pic:blipFill>
                    <a:blip r:embed="rId13"/>
                    <a:stretch>
                      <a:fillRect/>
                    </a:stretch>
                  </pic:blipFill>
                  <pic:spPr>
                    <a:xfrm>
                      <a:off x="0" y="0"/>
                      <a:ext cx="4042846" cy="2520000"/>
                    </a:xfrm>
                    <a:prstGeom prst="rect">
                      <a:avLst/>
                    </a:prstGeom>
                  </pic:spPr>
                </pic:pic>
              </a:graphicData>
            </a:graphic>
          </wp:inline>
        </w:drawing>
      </w:r>
    </w:p>
    <w:p w14:paraId="717295D5" w14:textId="0D3984DB" w:rsidR="00095F62" w:rsidRDefault="00095F62" w:rsidP="00B170CD">
      <w:pPr>
        <w:spacing w:before="120" w:after="240" w:line="260" w:lineRule="atLeast"/>
        <w:ind w:left="425" w:right="425"/>
        <w:jc w:val="both"/>
        <w:rPr>
          <w:rFonts w:ascii="Palatino Linotype" w:hAnsi="Palatino Linotype"/>
          <w:sz w:val="18"/>
          <w:szCs w:val="18"/>
        </w:rPr>
      </w:pPr>
      <w:r w:rsidRPr="00A21B37">
        <w:rPr>
          <w:rFonts w:ascii="Palatino Linotype" w:hAnsi="Palatino Linotype"/>
          <w:b/>
          <w:sz w:val="18"/>
          <w:szCs w:val="18"/>
        </w:rPr>
        <w:t xml:space="preserve">Figure S5. </w:t>
      </w:r>
      <w:r w:rsidRPr="00A21B37">
        <w:rPr>
          <w:rFonts w:ascii="Palatino Linotype" w:hAnsi="Palatino Linotype"/>
          <w:sz w:val="18"/>
          <w:szCs w:val="18"/>
        </w:rPr>
        <w:t>PCA score / scatter plot of leaf samples computed from ESI-positive data representing the first two PCs of a</w:t>
      </w:r>
      <w:r w:rsidRPr="00A21B37">
        <w:rPr>
          <w:rFonts w:ascii="Palatino Linotype" w:hAnsi="Palatino Linotype"/>
          <w:color w:val="000000"/>
          <w:sz w:val="18"/>
          <w:szCs w:val="18"/>
        </w:rPr>
        <w:t xml:space="preserve">n </w:t>
      </w:r>
      <w:r w:rsidRPr="00A21B37">
        <w:rPr>
          <w:rFonts w:ascii="Palatino Linotype" w:hAnsi="Palatino Linotype"/>
          <w:color w:val="000000" w:themeColor="text1"/>
          <w:sz w:val="18"/>
          <w:szCs w:val="18"/>
        </w:rPr>
        <w:t xml:space="preserve">16-component </w:t>
      </w:r>
      <w:r w:rsidRPr="00A21B37">
        <w:rPr>
          <w:rFonts w:ascii="Palatino Linotype" w:hAnsi="Palatino Linotype"/>
          <w:color w:val="000000"/>
          <w:sz w:val="18"/>
          <w:szCs w:val="18"/>
        </w:rPr>
        <w:t xml:space="preserve">PCA model. The model explains 67.5% variation in the Pareto-scaled data </w:t>
      </w:r>
      <w:r w:rsidRPr="00A21B37">
        <w:rPr>
          <w:rFonts w:ascii="Palatino Linotype" w:hAnsi="Palatino Linotype"/>
          <w:sz w:val="18"/>
          <w:szCs w:val="18"/>
        </w:rPr>
        <w:t>(R</w:t>
      </w:r>
      <w:r w:rsidRPr="00A21B37">
        <w:rPr>
          <w:rFonts w:ascii="Palatino Linotype" w:hAnsi="Palatino Linotype"/>
          <w:sz w:val="18"/>
          <w:szCs w:val="18"/>
          <w:vertAlign w:val="superscript"/>
        </w:rPr>
        <w:t>2</w:t>
      </w:r>
      <w:r w:rsidRPr="00A21B37">
        <w:rPr>
          <w:rFonts w:ascii="Palatino Linotype" w:hAnsi="Palatino Linotype"/>
          <w:sz w:val="18"/>
          <w:szCs w:val="18"/>
        </w:rPr>
        <w:t>X = 0.675) and 37.6% predicted variation according to cross-validation (Q</w:t>
      </w:r>
      <w:r w:rsidRPr="00A21B37">
        <w:rPr>
          <w:rFonts w:ascii="Palatino Linotype" w:hAnsi="Palatino Linotype"/>
          <w:sz w:val="18"/>
          <w:szCs w:val="18"/>
          <w:vertAlign w:val="superscript"/>
        </w:rPr>
        <w:t>2</w:t>
      </w:r>
      <w:r w:rsidRPr="00A21B37">
        <w:rPr>
          <w:rFonts w:ascii="Palatino Linotype" w:hAnsi="Palatino Linotype"/>
          <w:sz w:val="18"/>
          <w:szCs w:val="18"/>
        </w:rPr>
        <w:t xml:space="preserve"> =0.376). (</w:t>
      </w:r>
      <w:r w:rsidRPr="00D46DBA">
        <w:rPr>
          <w:rFonts w:ascii="Palatino Linotype" w:hAnsi="Palatino Linotype"/>
          <w:b/>
          <w:sz w:val="18"/>
          <w:szCs w:val="18"/>
        </w:rPr>
        <w:t>A</w:t>
      </w:r>
      <w:r w:rsidRPr="00A21B37">
        <w:rPr>
          <w:rFonts w:ascii="Palatino Linotype" w:hAnsi="Palatino Linotype"/>
          <w:sz w:val="18"/>
          <w:szCs w:val="18"/>
        </w:rPr>
        <w:t>,</w:t>
      </w:r>
      <w:r w:rsidRPr="00D46DBA">
        <w:rPr>
          <w:rFonts w:ascii="Palatino Linotype" w:hAnsi="Palatino Linotype"/>
          <w:b/>
          <w:sz w:val="18"/>
          <w:szCs w:val="18"/>
        </w:rPr>
        <w:t>B</w:t>
      </w:r>
      <w:r w:rsidRPr="00A21B37">
        <w:rPr>
          <w:rFonts w:ascii="Palatino Linotype" w:hAnsi="Palatino Linotype"/>
          <w:sz w:val="18"/>
          <w:szCs w:val="18"/>
        </w:rPr>
        <w:t>) represents the same PCA scores plot with (</w:t>
      </w:r>
      <w:r w:rsidRPr="00D46DBA">
        <w:rPr>
          <w:rFonts w:ascii="Palatino Linotype" w:hAnsi="Palatino Linotype"/>
          <w:b/>
          <w:sz w:val="18"/>
          <w:szCs w:val="18"/>
        </w:rPr>
        <w:t>A</w:t>
      </w:r>
      <w:r w:rsidRPr="00A21B37">
        <w:rPr>
          <w:rFonts w:ascii="Palatino Linotype" w:hAnsi="Palatino Linotype"/>
          <w:sz w:val="18"/>
          <w:szCs w:val="18"/>
        </w:rPr>
        <w:t>) showing the treatment-related clustering and (</w:t>
      </w:r>
      <w:r w:rsidRPr="00D46DBA">
        <w:rPr>
          <w:rFonts w:ascii="Palatino Linotype" w:hAnsi="Palatino Linotype"/>
          <w:b/>
          <w:sz w:val="18"/>
          <w:szCs w:val="18"/>
        </w:rPr>
        <w:t>B</w:t>
      </w:r>
      <w:r w:rsidRPr="00A21B37">
        <w:rPr>
          <w:rFonts w:ascii="Palatino Linotype" w:hAnsi="Palatino Linotype"/>
          <w:sz w:val="18"/>
          <w:szCs w:val="18"/>
        </w:rPr>
        <w:t>) showing the time-related clustering. (</w:t>
      </w:r>
      <w:r w:rsidRPr="00D46DBA">
        <w:rPr>
          <w:rFonts w:ascii="Palatino Linotype" w:hAnsi="Palatino Linotype"/>
          <w:b/>
          <w:sz w:val="18"/>
          <w:szCs w:val="18"/>
        </w:rPr>
        <w:t>C</w:t>
      </w:r>
      <w:r w:rsidRPr="00A21B37">
        <w:rPr>
          <w:rFonts w:ascii="Palatino Linotype" w:hAnsi="Palatino Linotype"/>
          <w:sz w:val="18"/>
          <w:szCs w:val="18"/>
        </w:rPr>
        <w:t>,</w:t>
      </w:r>
      <w:r w:rsidRPr="00D46DBA">
        <w:rPr>
          <w:rFonts w:ascii="Palatino Linotype" w:hAnsi="Palatino Linotype"/>
          <w:b/>
          <w:sz w:val="18"/>
          <w:szCs w:val="18"/>
        </w:rPr>
        <w:t>D</w:t>
      </w:r>
      <w:r w:rsidRPr="00A21B37">
        <w:rPr>
          <w:rFonts w:ascii="Palatino Linotype" w:hAnsi="Palatino Linotype"/>
          <w:sz w:val="18"/>
          <w:szCs w:val="18"/>
        </w:rPr>
        <w:t>) HCA dendrogram corresponding to (</w:t>
      </w:r>
      <w:r w:rsidRPr="00D46DBA">
        <w:rPr>
          <w:rFonts w:ascii="Palatino Linotype" w:hAnsi="Palatino Linotype"/>
          <w:b/>
          <w:sz w:val="18"/>
          <w:szCs w:val="18"/>
        </w:rPr>
        <w:t>A</w:t>
      </w:r>
      <w:r w:rsidRPr="00A21B37">
        <w:rPr>
          <w:rFonts w:ascii="Palatino Linotype" w:hAnsi="Palatino Linotype"/>
          <w:sz w:val="18"/>
          <w:szCs w:val="18"/>
        </w:rPr>
        <w:t>,</w:t>
      </w:r>
      <w:r w:rsidRPr="00D46DBA">
        <w:rPr>
          <w:rFonts w:ascii="Palatino Linotype" w:hAnsi="Palatino Linotype"/>
          <w:b/>
          <w:sz w:val="18"/>
          <w:szCs w:val="18"/>
        </w:rPr>
        <w:t>B</w:t>
      </w:r>
      <w:r w:rsidRPr="00A21B37">
        <w:rPr>
          <w:rFonts w:ascii="Palatino Linotype" w:hAnsi="Palatino Linotype"/>
          <w:sz w:val="18"/>
          <w:szCs w:val="18"/>
        </w:rPr>
        <w:t xml:space="preserve">). Legend: QC: Quality control (grey); Fp: Naïve plants inoculated with </w:t>
      </w:r>
      <w:r w:rsidRPr="00A21B37">
        <w:rPr>
          <w:rFonts w:ascii="Palatino Linotype" w:hAnsi="Palatino Linotype"/>
          <w:i/>
          <w:sz w:val="18"/>
          <w:szCs w:val="18"/>
        </w:rPr>
        <w:t xml:space="preserve">F. pseudograminearum </w:t>
      </w:r>
      <w:r w:rsidRPr="00A21B37">
        <w:rPr>
          <w:rFonts w:ascii="Palatino Linotype" w:hAnsi="Palatino Linotype"/>
          <w:sz w:val="18"/>
          <w:szCs w:val="18"/>
        </w:rPr>
        <w:t xml:space="preserve">(blue); FpPGPR: </w:t>
      </w:r>
      <w:r w:rsidRPr="00A21B37">
        <w:rPr>
          <w:rFonts w:ascii="Palatino Linotype" w:hAnsi="Palatino Linotype"/>
          <w:i/>
          <w:sz w:val="18"/>
          <w:szCs w:val="18"/>
        </w:rPr>
        <w:t>P. alvei</w:t>
      </w:r>
      <w:r w:rsidRPr="00A21B37">
        <w:rPr>
          <w:rFonts w:ascii="Palatino Linotype" w:hAnsi="Palatino Linotype"/>
          <w:sz w:val="18"/>
          <w:szCs w:val="18"/>
        </w:rPr>
        <w:t xml:space="preserve">-primed plants inoculated with </w:t>
      </w:r>
      <w:r w:rsidRPr="00A21B37">
        <w:rPr>
          <w:rFonts w:ascii="Palatino Linotype" w:hAnsi="Palatino Linotype"/>
          <w:i/>
          <w:sz w:val="18"/>
          <w:szCs w:val="18"/>
        </w:rPr>
        <w:t xml:space="preserve">F. pseudograminearum </w:t>
      </w:r>
      <w:r w:rsidRPr="00A21B37">
        <w:rPr>
          <w:rFonts w:ascii="Palatino Linotype" w:hAnsi="Palatino Linotype"/>
          <w:sz w:val="18"/>
          <w:szCs w:val="18"/>
        </w:rPr>
        <w:t xml:space="preserve">(green); PGPR: </w:t>
      </w:r>
      <w:r w:rsidRPr="00A21B37">
        <w:rPr>
          <w:rFonts w:ascii="Palatino Linotype" w:hAnsi="Palatino Linotype"/>
          <w:i/>
          <w:sz w:val="18"/>
          <w:szCs w:val="18"/>
        </w:rPr>
        <w:t>P. alvei</w:t>
      </w:r>
      <w:r w:rsidRPr="00A21B37">
        <w:rPr>
          <w:rFonts w:ascii="Palatino Linotype" w:hAnsi="Palatino Linotype"/>
          <w:sz w:val="18"/>
          <w:szCs w:val="18"/>
        </w:rPr>
        <w:t xml:space="preserve">-primed plants (red); Cont: Untreated plants (black); 1 d.p.i.: 1 d.p.i. with </w:t>
      </w:r>
      <w:r w:rsidRPr="00A21B37">
        <w:rPr>
          <w:rFonts w:ascii="Palatino Linotype" w:hAnsi="Palatino Linotype"/>
          <w:i/>
          <w:sz w:val="18"/>
          <w:szCs w:val="18"/>
        </w:rPr>
        <w:t xml:space="preserve">F. pseudograminearum </w:t>
      </w:r>
      <w:r w:rsidRPr="00A21B37">
        <w:rPr>
          <w:rFonts w:ascii="Palatino Linotype" w:hAnsi="Palatino Linotype"/>
          <w:sz w:val="18"/>
          <w:szCs w:val="18"/>
        </w:rPr>
        <w:t xml:space="preserve">(red); 4 d.p.i.: 4 d.p.i. with </w:t>
      </w:r>
      <w:r w:rsidRPr="00A21B37">
        <w:rPr>
          <w:rFonts w:ascii="Palatino Linotype" w:hAnsi="Palatino Linotype"/>
          <w:i/>
          <w:sz w:val="18"/>
          <w:szCs w:val="18"/>
        </w:rPr>
        <w:t xml:space="preserve">F. pseudograminearum </w:t>
      </w:r>
      <w:r w:rsidRPr="00A21B37">
        <w:rPr>
          <w:rFonts w:ascii="Palatino Linotype" w:hAnsi="Palatino Linotype"/>
          <w:sz w:val="18"/>
          <w:szCs w:val="18"/>
        </w:rPr>
        <w:t xml:space="preserve">(blue); 7 d.p.i.: 7 d.p.i. with </w:t>
      </w:r>
      <w:r w:rsidRPr="00A21B37">
        <w:rPr>
          <w:rFonts w:ascii="Palatino Linotype" w:hAnsi="Palatino Linotype"/>
          <w:i/>
          <w:sz w:val="18"/>
          <w:szCs w:val="18"/>
        </w:rPr>
        <w:t xml:space="preserve">F. pseudograminearum </w:t>
      </w:r>
      <w:r w:rsidRPr="00A21B37">
        <w:rPr>
          <w:rFonts w:ascii="Palatino Linotype" w:hAnsi="Palatino Linotype"/>
          <w:sz w:val="18"/>
          <w:szCs w:val="18"/>
        </w:rPr>
        <w:t>(green).</w:t>
      </w:r>
    </w:p>
    <w:p w14:paraId="72AA6CAB" w14:textId="77777777" w:rsidR="00B170CD" w:rsidRDefault="00B170CD" w:rsidP="00B170CD">
      <w:pPr>
        <w:spacing w:before="120" w:after="240" w:line="260" w:lineRule="atLeast"/>
        <w:ind w:left="425" w:right="425"/>
        <w:jc w:val="both"/>
        <w:rPr>
          <w:rFonts w:ascii="Palatino Linotype" w:hAnsi="Palatino Linotype"/>
          <w:sz w:val="18"/>
          <w:szCs w:val="18"/>
        </w:rPr>
      </w:pPr>
    </w:p>
    <w:p w14:paraId="57D4EC17" w14:textId="0B91CA7C" w:rsidR="00495A1E" w:rsidRDefault="00E26EE0" w:rsidP="00495A1E">
      <w:pPr>
        <w:spacing w:before="120" w:after="240" w:line="260" w:lineRule="atLeast"/>
        <w:ind w:left="425" w:right="425"/>
        <w:jc w:val="center"/>
        <w:rPr>
          <w:rFonts w:ascii="Palatino Linotype" w:hAnsi="Palatino Linotype"/>
          <w:sz w:val="18"/>
          <w:szCs w:val="18"/>
        </w:rPr>
      </w:pPr>
      <w:r>
        <w:rPr>
          <w:noProof/>
          <w:lang w:eastAsia="en-ZA"/>
        </w:rPr>
        <w:drawing>
          <wp:inline distT="0" distB="0" distL="0" distR="0" wp14:anchorId="73119F0E" wp14:editId="288696A8">
            <wp:extent cx="4106431" cy="25200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Roots neg.bmp"/>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106431" cy="2520000"/>
                    </a:xfrm>
                    <a:prstGeom prst="rect">
                      <a:avLst/>
                    </a:prstGeom>
                  </pic:spPr>
                </pic:pic>
              </a:graphicData>
            </a:graphic>
          </wp:inline>
        </w:drawing>
      </w:r>
    </w:p>
    <w:p w14:paraId="1D9BCCC7" w14:textId="51354798" w:rsidR="00495A1E" w:rsidRPr="00CA4210" w:rsidRDefault="00495A1E" w:rsidP="00B170CD">
      <w:pPr>
        <w:pStyle w:val="NormalWeb"/>
        <w:snapToGrid w:val="0"/>
        <w:spacing w:before="120" w:beforeAutospacing="0" w:after="240" w:afterAutospacing="0"/>
        <w:ind w:left="425" w:right="425"/>
        <w:jc w:val="both"/>
        <w:rPr>
          <w:rFonts w:ascii="Palatino Linotype" w:hAnsi="Palatino Linotype"/>
          <w:color w:val="000000"/>
          <w:sz w:val="18"/>
          <w:szCs w:val="18"/>
          <w:lang w:eastAsia="de-DE" w:bidi="en-US"/>
        </w:rPr>
      </w:pPr>
      <w:r w:rsidRPr="00CA4210">
        <w:rPr>
          <w:rFonts w:ascii="Palatino Linotype" w:hAnsi="Palatino Linotype"/>
          <w:b/>
          <w:color w:val="000000"/>
          <w:sz w:val="18"/>
          <w:szCs w:val="18"/>
          <w:lang w:eastAsia="de-DE" w:bidi="en-US"/>
        </w:rPr>
        <w:t xml:space="preserve">Figure </w:t>
      </w:r>
      <w:r>
        <w:rPr>
          <w:rFonts w:ascii="Palatino Linotype" w:hAnsi="Palatino Linotype"/>
          <w:b/>
          <w:color w:val="000000"/>
          <w:sz w:val="18"/>
          <w:szCs w:val="18"/>
          <w:lang w:eastAsia="de-DE" w:bidi="en-US"/>
        </w:rPr>
        <w:t>S6</w:t>
      </w:r>
      <w:r w:rsidRPr="00CA4210">
        <w:rPr>
          <w:rFonts w:ascii="Palatino Linotype" w:hAnsi="Palatino Linotype"/>
          <w:b/>
          <w:color w:val="000000"/>
          <w:sz w:val="18"/>
          <w:szCs w:val="18"/>
          <w:lang w:eastAsia="de-DE" w:bidi="en-US"/>
        </w:rPr>
        <w:t>.</w:t>
      </w:r>
      <w:r w:rsidRPr="00CA4210">
        <w:rPr>
          <w:rFonts w:ascii="Palatino Linotype" w:hAnsi="Palatino Linotype"/>
          <w:color w:val="000000"/>
          <w:sz w:val="18"/>
          <w:szCs w:val="18"/>
          <w:lang w:eastAsia="de-DE" w:bidi="en-US"/>
        </w:rPr>
        <w:t xml:space="preserve"> PCA score / scatter plot of root samples computed from ESI-</w:t>
      </w:r>
      <w:r>
        <w:rPr>
          <w:rFonts w:ascii="Palatino Linotype" w:hAnsi="Palatino Linotype"/>
          <w:color w:val="000000"/>
          <w:sz w:val="18"/>
          <w:szCs w:val="18"/>
          <w:lang w:eastAsia="de-DE" w:bidi="en-US"/>
        </w:rPr>
        <w:t>negative</w:t>
      </w:r>
      <w:r w:rsidRPr="00CA4210">
        <w:rPr>
          <w:rFonts w:ascii="Palatino Linotype" w:hAnsi="Palatino Linotype"/>
          <w:color w:val="000000"/>
          <w:sz w:val="18"/>
          <w:szCs w:val="18"/>
          <w:lang w:eastAsia="de-DE" w:bidi="en-US"/>
        </w:rPr>
        <w:t xml:space="preserve"> data representing the first two PCs of a 1</w:t>
      </w:r>
      <w:r>
        <w:rPr>
          <w:rFonts w:ascii="Palatino Linotype" w:hAnsi="Palatino Linotype"/>
          <w:color w:val="000000"/>
          <w:sz w:val="18"/>
          <w:szCs w:val="18"/>
          <w:lang w:eastAsia="de-DE" w:bidi="en-US"/>
        </w:rPr>
        <w:t>5</w:t>
      </w:r>
      <w:r w:rsidRPr="00CA4210">
        <w:rPr>
          <w:rFonts w:ascii="Palatino Linotype" w:hAnsi="Palatino Linotype"/>
          <w:color w:val="000000"/>
          <w:sz w:val="18"/>
          <w:szCs w:val="18"/>
          <w:lang w:eastAsia="de-DE" w:bidi="en-US"/>
        </w:rPr>
        <w:t xml:space="preserve">-component PCA model. The model explains </w:t>
      </w:r>
      <w:r>
        <w:rPr>
          <w:rFonts w:ascii="Palatino Linotype" w:hAnsi="Palatino Linotype"/>
          <w:color w:val="000000"/>
          <w:sz w:val="18"/>
          <w:szCs w:val="18"/>
          <w:lang w:eastAsia="de-DE" w:bidi="en-US"/>
        </w:rPr>
        <w:t>66.4</w:t>
      </w:r>
      <w:r w:rsidRPr="00CA4210">
        <w:rPr>
          <w:rFonts w:ascii="Palatino Linotype" w:hAnsi="Palatino Linotype"/>
          <w:color w:val="000000"/>
          <w:sz w:val="18"/>
          <w:szCs w:val="18"/>
          <w:lang w:eastAsia="de-DE" w:bidi="en-US"/>
        </w:rPr>
        <w:t>% variation in the Pareto-scaled data (R</w:t>
      </w:r>
      <w:r w:rsidRPr="00A56474">
        <w:rPr>
          <w:rFonts w:ascii="Palatino Linotype" w:hAnsi="Palatino Linotype"/>
          <w:color w:val="000000"/>
          <w:sz w:val="18"/>
          <w:szCs w:val="18"/>
          <w:vertAlign w:val="superscript"/>
          <w:lang w:eastAsia="de-DE" w:bidi="en-US"/>
        </w:rPr>
        <w:t>2</w:t>
      </w:r>
      <w:r w:rsidRPr="00CA4210">
        <w:rPr>
          <w:rFonts w:ascii="Palatino Linotype" w:hAnsi="Palatino Linotype"/>
          <w:color w:val="000000"/>
          <w:sz w:val="18"/>
          <w:szCs w:val="18"/>
          <w:lang w:eastAsia="de-DE" w:bidi="en-US"/>
        </w:rPr>
        <w:t>X = 0.</w:t>
      </w:r>
      <w:r>
        <w:rPr>
          <w:rFonts w:ascii="Palatino Linotype" w:hAnsi="Palatino Linotype"/>
          <w:color w:val="000000"/>
          <w:sz w:val="18"/>
          <w:szCs w:val="18"/>
          <w:lang w:eastAsia="de-DE" w:bidi="en-US"/>
        </w:rPr>
        <w:t>664</w:t>
      </w:r>
      <w:r w:rsidRPr="00CA4210">
        <w:rPr>
          <w:rFonts w:ascii="Palatino Linotype" w:hAnsi="Palatino Linotype"/>
          <w:color w:val="000000"/>
          <w:sz w:val="18"/>
          <w:szCs w:val="18"/>
          <w:lang w:eastAsia="de-DE" w:bidi="en-US"/>
        </w:rPr>
        <w:t xml:space="preserve">) and </w:t>
      </w:r>
      <w:r>
        <w:rPr>
          <w:rFonts w:ascii="Palatino Linotype" w:hAnsi="Palatino Linotype"/>
          <w:color w:val="000000"/>
          <w:sz w:val="18"/>
          <w:szCs w:val="18"/>
          <w:lang w:eastAsia="de-DE" w:bidi="en-US"/>
        </w:rPr>
        <w:t>48.6</w:t>
      </w:r>
      <w:r w:rsidRPr="00CA4210">
        <w:rPr>
          <w:rFonts w:ascii="Palatino Linotype" w:hAnsi="Palatino Linotype"/>
          <w:color w:val="000000"/>
          <w:sz w:val="18"/>
          <w:szCs w:val="18"/>
          <w:lang w:eastAsia="de-DE" w:bidi="en-US"/>
        </w:rPr>
        <w:t>% predicted variation according to cross-validation (Q</w:t>
      </w:r>
      <w:r w:rsidRPr="00A56474">
        <w:rPr>
          <w:rFonts w:ascii="Palatino Linotype" w:hAnsi="Palatino Linotype"/>
          <w:color w:val="000000"/>
          <w:sz w:val="18"/>
          <w:szCs w:val="18"/>
          <w:vertAlign w:val="superscript"/>
          <w:lang w:eastAsia="de-DE" w:bidi="en-US"/>
        </w:rPr>
        <w:t>2</w:t>
      </w:r>
      <w:r w:rsidRPr="00CA4210">
        <w:rPr>
          <w:rFonts w:ascii="Palatino Linotype" w:hAnsi="Palatino Linotype"/>
          <w:color w:val="000000"/>
          <w:sz w:val="18"/>
          <w:szCs w:val="18"/>
          <w:lang w:eastAsia="de-DE" w:bidi="en-US"/>
        </w:rPr>
        <w:t xml:space="preserve"> =0.</w:t>
      </w:r>
      <w:r>
        <w:rPr>
          <w:rFonts w:ascii="Palatino Linotype" w:hAnsi="Palatino Linotype"/>
          <w:color w:val="000000"/>
          <w:sz w:val="18"/>
          <w:szCs w:val="18"/>
          <w:lang w:eastAsia="de-DE" w:bidi="en-US"/>
        </w:rPr>
        <w:t>486</w:t>
      </w:r>
      <w:r w:rsidRPr="00CA4210">
        <w:rPr>
          <w:rFonts w:ascii="Palatino Linotype" w:hAnsi="Palatino Linotype"/>
          <w:color w:val="000000"/>
          <w:sz w:val="18"/>
          <w:szCs w:val="18"/>
          <w:lang w:eastAsia="de-DE" w:bidi="en-US"/>
        </w:rPr>
        <w:t>). (</w:t>
      </w:r>
      <w:r w:rsidRPr="00710F67">
        <w:rPr>
          <w:rFonts w:ascii="Palatino Linotype" w:hAnsi="Palatino Linotype"/>
          <w:b/>
          <w:color w:val="000000"/>
          <w:sz w:val="18"/>
          <w:szCs w:val="18"/>
          <w:lang w:eastAsia="de-DE" w:bidi="en-US"/>
        </w:rPr>
        <w:t>A</w:t>
      </w:r>
      <w:r w:rsidRPr="00CA4210">
        <w:rPr>
          <w:rFonts w:ascii="Palatino Linotype" w:hAnsi="Palatino Linotype"/>
          <w:color w:val="000000"/>
          <w:sz w:val="18"/>
          <w:szCs w:val="18"/>
          <w:lang w:eastAsia="de-DE" w:bidi="en-US"/>
        </w:rPr>
        <w:t xml:space="preserve"> and </w:t>
      </w:r>
      <w:r w:rsidRPr="00710F67">
        <w:rPr>
          <w:rFonts w:ascii="Palatino Linotype" w:hAnsi="Palatino Linotype"/>
          <w:b/>
          <w:color w:val="000000"/>
          <w:sz w:val="18"/>
          <w:szCs w:val="18"/>
          <w:lang w:eastAsia="de-DE" w:bidi="en-US"/>
        </w:rPr>
        <w:t>B</w:t>
      </w:r>
      <w:r w:rsidRPr="00CA4210">
        <w:rPr>
          <w:rFonts w:ascii="Palatino Linotype" w:hAnsi="Palatino Linotype"/>
          <w:color w:val="000000"/>
          <w:sz w:val="18"/>
          <w:szCs w:val="18"/>
          <w:lang w:eastAsia="de-DE" w:bidi="en-US"/>
        </w:rPr>
        <w:t>) represents the same PCA scores plot with (</w:t>
      </w:r>
      <w:r w:rsidRPr="00710F67">
        <w:rPr>
          <w:rFonts w:ascii="Palatino Linotype" w:hAnsi="Palatino Linotype"/>
          <w:b/>
          <w:color w:val="000000"/>
          <w:sz w:val="18"/>
          <w:szCs w:val="18"/>
          <w:lang w:eastAsia="de-DE" w:bidi="en-US"/>
        </w:rPr>
        <w:t>A</w:t>
      </w:r>
      <w:r w:rsidRPr="00CA4210">
        <w:rPr>
          <w:rFonts w:ascii="Palatino Linotype" w:hAnsi="Palatino Linotype"/>
          <w:color w:val="000000"/>
          <w:sz w:val="18"/>
          <w:szCs w:val="18"/>
          <w:lang w:eastAsia="de-DE" w:bidi="en-US"/>
        </w:rPr>
        <w:t>) showing the treatment-related clustering and (</w:t>
      </w:r>
      <w:r w:rsidRPr="00710F67">
        <w:rPr>
          <w:rFonts w:ascii="Palatino Linotype" w:hAnsi="Palatino Linotype"/>
          <w:b/>
          <w:color w:val="000000"/>
          <w:sz w:val="18"/>
          <w:szCs w:val="18"/>
          <w:lang w:eastAsia="de-DE" w:bidi="en-US"/>
        </w:rPr>
        <w:t>B</w:t>
      </w:r>
      <w:r w:rsidRPr="00CA4210">
        <w:rPr>
          <w:rFonts w:ascii="Palatino Linotype" w:hAnsi="Palatino Linotype"/>
          <w:color w:val="000000"/>
          <w:sz w:val="18"/>
          <w:szCs w:val="18"/>
          <w:lang w:eastAsia="de-DE" w:bidi="en-US"/>
        </w:rPr>
        <w:t>) showing the time-related clustering. (</w:t>
      </w:r>
      <w:r w:rsidRPr="00710F67">
        <w:rPr>
          <w:rFonts w:ascii="Palatino Linotype" w:hAnsi="Palatino Linotype"/>
          <w:b/>
          <w:color w:val="000000"/>
          <w:sz w:val="18"/>
          <w:szCs w:val="18"/>
          <w:lang w:eastAsia="de-DE" w:bidi="en-US"/>
        </w:rPr>
        <w:t>C</w:t>
      </w:r>
      <w:r w:rsidRPr="00CA4210">
        <w:rPr>
          <w:rFonts w:ascii="Palatino Linotype" w:hAnsi="Palatino Linotype"/>
          <w:color w:val="000000"/>
          <w:sz w:val="18"/>
          <w:szCs w:val="18"/>
          <w:lang w:eastAsia="de-DE" w:bidi="en-US"/>
        </w:rPr>
        <w:t xml:space="preserve"> and </w:t>
      </w:r>
      <w:r w:rsidRPr="00710F67">
        <w:rPr>
          <w:rFonts w:ascii="Palatino Linotype" w:hAnsi="Palatino Linotype"/>
          <w:b/>
          <w:color w:val="000000"/>
          <w:sz w:val="18"/>
          <w:szCs w:val="18"/>
          <w:lang w:eastAsia="de-DE" w:bidi="en-US"/>
        </w:rPr>
        <w:t>D</w:t>
      </w:r>
      <w:r w:rsidRPr="00CA4210">
        <w:rPr>
          <w:rFonts w:ascii="Palatino Linotype" w:hAnsi="Palatino Linotype"/>
          <w:color w:val="000000"/>
          <w:sz w:val="18"/>
          <w:szCs w:val="18"/>
          <w:lang w:eastAsia="de-DE" w:bidi="en-US"/>
        </w:rPr>
        <w:t>) HCA dendrograms corresponding to (</w:t>
      </w:r>
      <w:r w:rsidRPr="00710F67">
        <w:rPr>
          <w:rFonts w:ascii="Palatino Linotype" w:hAnsi="Palatino Linotype"/>
          <w:b/>
          <w:color w:val="000000"/>
          <w:sz w:val="18"/>
          <w:szCs w:val="18"/>
          <w:lang w:eastAsia="de-DE" w:bidi="en-US"/>
        </w:rPr>
        <w:t>A</w:t>
      </w:r>
      <w:r w:rsidRPr="00CA4210">
        <w:rPr>
          <w:rFonts w:ascii="Palatino Linotype" w:hAnsi="Palatino Linotype"/>
          <w:color w:val="000000"/>
          <w:sz w:val="18"/>
          <w:szCs w:val="18"/>
          <w:lang w:eastAsia="de-DE" w:bidi="en-US"/>
        </w:rPr>
        <w:t xml:space="preserve"> and </w:t>
      </w:r>
      <w:r w:rsidRPr="00710F67">
        <w:rPr>
          <w:rFonts w:ascii="Palatino Linotype" w:hAnsi="Palatino Linotype"/>
          <w:b/>
          <w:color w:val="000000"/>
          <w:sz w:val="18"/>
          <w:szCs w:val="18"/>
          <w:lang w:eastAsia="de-DE" w:bidi="en-US"/>
        </w:rPr>
        <w:t>B</w:t>
      </w:r>
      <w:r w:rsidRPr="00CA4210">
        <w:rPr>
          <w:rFonts w:ascii="Palatino Linotype" w:hAnsi="Palatino Linotype"/>
          <w:color w:val="000000"/>
          <w:sz w:val="18"/>
          <w:szCs w:val="18"/>
          <w:lang w:eastAsia="de-DE" w:bidi="en-US"/>
        </w:rPr>
        <w:t xml:space="preserve">). Legend: QC: Quality control (grey); Fp: Naïve plants inoculated with </w:t>
      </w:r>
      <w:r w:rsidRPr="00396C96">
        <w:rPr>
          <w:rFonts w:ascii="Palatino Linotype" w:hAnsi="Palatino Linotype"/>
          <w:i/>
          <w:color w:val="000000"/>
          <w:sz w:val="18"/>
          <w:szCs w:val="18"/>
          <w:lang w:eastAsia="de-DE" w:bidi="en-US"/>
        </w:rPr>
        <w:t>F. pseudograminearum</w:t>
      </w:r>
      <w:r w:rsidRPr="00CA4210">
        <w:rPr>
          <w:rFonts w:ascii="Palatino Linotype" w:hAnsi="Palatino Linotype"/>
          <w:color w:val="000000"/>
          <w:sz w:val="18"/>
          <w:szCs w:val="18"/>
          <w:lang w:eastAsia="de-DE" w:bidi="en-US"/>
        </w:rPr>
        <w:t xml:space="preserve"> (blue); FpPGPR: </w:t>
      </w:r>
      <w:r w:rsidRPr="00A56474">
        <w:rPr>
          <w:rFonts w:ascii="Palatino Linotype" w:hAnsi="Palatino Linotype"/>
          <w:i/>
          <w:color w:val="000000"/>
          <w:sz w:val="18"/>
          <w:szCs w:val="18"/>
          <w:lang w:eastAsia="de-DE" w:bidi="en-US"/>
        </w:rPr>
        <w:t>P. alvei</w:t>
      </w:r>
      <w:r w:rsidRPr="00CA4210">
        <w:rPr>
          <w:rFonts w:ascii="Palatino Linotype" w:hAnsi="Palatino Linotype"/>
          <w:color w:val="000000"/>
          <w:sz w:val="18"/>
          <w:szCs w:val="18"/>
          <w:lang w:eastAsia="de-DE" w:bidi="en-US"/>
        </w:rPr>
        <w:t xml:space="preserve">-primed plants inoculated with </w:t>
      </w:r>
      <w:r w:rsidRPr="00396C96">
        <w:rPr>
          <w:rFonts w:ascii="Palatino Linotype" w:hAnsi="Palatino Linotype"/>
          <w:i/>
          <w:color w:val="000000"/>
          <w:sz w:val="18"/>
          <w:szCs w:val="18"/>
          <w:lang w:eastAsia="de-DE" w:bidi="en-US"/>
        </w:rPr>
        <w:t xml:space="preserve">F. pseudograminearum </w:t>
      </w:r>
      <w:r w:rsidRPr="00CA4210">
        <w:rPr>
          <w:rFonts w:ascii="Palatino Linotype" w:hAnsi="Palatino Linotype"/>
          <w:color w:val="000000"/>
          <w:sz w:val="18"/>
          <w:szCs w:val="18"/>
          <w:lang w:eastAsia="de-DE" w:bidi="en-US"/>
        </w:rPr>
        <w:t xml:space="preserve">(green); PGPR: </w:t>
      </w:r>
      <w:r w:rsidRPr="00783E51">
        <w:rPr>
          <w:rFonts w:ascii="Palatino Linotype" w:hAnsi="Palatino Linotype"/>
          <w:i/>
          <w:color w:val="000000"/>
          <w:sz w:val="18"/>
          <w:szCs w:val="18"/>
          <w:lang w:eastAsia="de-DE" w:bidi="en-US"/>
        </w:rPr>
        <w:t>P. alvei</w:t>
      </w:r>
      <w:r w:rsidRPr="00CA4210">
        <w:rPr>
          <w:rFonts w:ascii="Palatino Linotype" w:hAnsi="Palatino Linotype"/>
          <w:color w:val="000000"/>
          <w:sz w:val="18"/>
          <w:szCs w:val="18"/>
          <w:lang w:eastAsia="de-DE" w:bidi="en-US"/>
        </w:rPr>
        <w:t xml:space="preserve">-primed plants (red); Cont: Untreated plants (black); 1 d.p.i.: 1 d.p.i. with </w:t>
      </w:r>
      <w:r w:rsidRPr="00396C96">
        <w:rPr>
          <w:rFonts w:ascii="Palatino Linotype" w:hAnsi="Palatino Linotype"/>
          <w:i/>
          <w:color w:val="000000"/>
          <w:sz w:val="18"/>
          <w:szCs w:val="18"/>
          <w:lang w:eastAsia="de-DE" w:bidi="en-US"/>
        </w:rPr>
        <w:t>F. pseudograminearum</w:t>
      </w:r>
      <w:r w:rsidRPr="00CA4210">
        <w:rPr>
          <w:rFonts w:ascii="Palatino Linotype" w:hAnsi="Palatino Linotype"/>
          <w:color w:val="000000"/>
          <w:sz w:val="18"/>
          <w:szCs w:val="18"/>
          <w:lang w:eastAsia="de-DE" w:bidi="en-US"/>
        </w:rPr>
        <w:t xml:space="preserve"> (red); 4 d.p.i.: 4 d.p.i. with </w:t>
      </w:r>
      <w:r w:rsidRPr="00396C96">
        <w:rPr>
          <w:rFonts w:ascii="Palatino Linotype" w:hAnsi="Palatino Linotype"/>
          <w:i/>
          <w:color w:val="000000"/>
          <w:sz w:val="18"/>
          <w:szCs w:val="18"/>
          <w:lang w:eastAsia="de-DE" w:bidi="en-US"/>
        </w:rPr>
        <w:t>F. pseudograminearum</w:t>
      </w:r>
      <w:r w:rsidRPr="00CA4210">
        <w:rPr>
          <w:rFonts w:ascii="Palatino Linotype" w:hAnsi="Palatino Linotype"/>
          <w:color w:val="000000"/>
          <w:sz w:val="18"/>
          <w:szCs w:val="18"/>
          <w:lang w:eastAsia="de-DE" w:bidi="en-US"/>
        </w:rPr>
        <w:t xml:space="preserve"> (blue); 7 d.p.i.: 7 d.p.i. with </w:t>
      </w:r>
      <w:r w:rsidRPr="00396C96">
        <w:rPr>
          <w:rFonts w:ascii="Palatino Linotype" w:hAnsi="Palatino Linotype"/>
          <w:i/>
          <w:color w:val="000000"/>
          <w:sz w:val="18"/>
          <w:szCs w:val="18"/>
          <w:lang w:eastAsia="de-DE" w:bidi="en-US"/>
        </w:rPr>
        <w:t>F. pseudograminearum</w:t>
      </w:r>
      <w:r w:rsidRPr="00CA4210">
        <w:rPr>
          <w:rFonts w:ascii="Palatino Linotype" w:hAnsi="Palatino Linotype"/>
          <w:color w:val="000000"/>
          <w:sz w:val="18"/>
          <w:szCs w:val="18"/>
          <w:lang w:eastAsia="de-DE" w:bidi="en-US"/>
        </w:rPr>
        <w:t xml:space="preserve"> (green)</w:t>
      </w:r>
      <w:r w:rsidR="00B170CD">
        <w:rPr>
          <w:rFonts w:ascii="Palatino Linotype" w:hAnsi="Palatino Linotype"/>
          <w:color w:val="000000"/>
          <w:sz w:val="18"/>
          <w:szCs w:val="18"/>
          <w:lang w:eastAsia="de-DE" w:bidi="en-US"/>
        </w:rPr>
        <w:t>.</w:t>
      </w:r>
    </w:p>
    <w:p w14:paraId="60B7A1C9" w14:textId="11EB1712" w:rsidR="00495A1E" w:rsidRPr="00A21B37" w:rsidRDefault="00B170CD" w:rsidP="00E26EE0">
      <w:pPr>
        <w:spacing w:before="120" w:after="240" w:line="260" w:lineRule="atLeast"/>
        <w:ind w:left="425" w:right="425"/>
        <w:jc w:val="center"/>
        <w:rPr>
          <w:rFonts w:ascii="Palatino Linotype" w:hAnsi="Palatino Linotype"/>
          <w:sz w:val="18"/>
          <w:szCs w:val="18"/>
        </w:rPr>
      </w:pPr>
      <w:r>
        <w:rPr>
          <w:noProof/>
          <w:lang w:eastAsia="en-ZA"/>
        </w:rPr>
        <w:lastRenderedPageBreak/>
        <w:drawing>
          <wp:inline distT="0" distB="0" distL="0" distR="0" wp14:anchorId="02E0B5C8" wp14:editId="0865CBE2">
            <wp:extent cx="4106431" cy="25200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tems neg.bmp"/>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106431" cy="2520000"/>
                    </a:xfrm>
                    <a:prstGeom prst="rect">
                      <a:avLst/>
                    </a:prstGeom>
                  </pic:spPr>
                </pic:pic>
              </a:graphicData>
            </a:graphic>
          </wp:inline>
        </w:drawing>
      </w:r>
    </w:p>
    <w:p w14:paraId="26C2585F" w14:textId="65A57621" w:rsidR="006606A3" w:rsidRDefault="006606A3" w:rsidP="00B170CD">
      <w:pPr>
        <w:pStyle w:val="NormalWeb"/>
        <w:snapToGrid w:val="0"/>
        <w:spacing w:before="120" w:beforeAutospacing="0" w:after="240" w:afterAutospacing="0"/>
        <w:ind w:left="425" w:right="425"/>
        <w:jc w:val="both"/>
        <w:rPr>
          <w:rFonts w:ascii="Palatino Linotype" w:hAnsi="Palatino Linotype"/>
          <w:color w:val="000000"/>
          <w:sz w:val="18"/>
          <w:szCs w:val="18"/>
          <w:lang w:eastAsia="de-DE" w:bidi="en-US"/>
        </w:rPr>
      </w:pPr>
      <w:r w:rsidRPr="00CA4210">
        <w:rPr>
          <w:rFonts w:ascii="Palatino Linotype" w:hAnsi="Palatino Linotype"/>
          <w:b/>
          <w:color w:val="000000"/>
          <w:sz w:val="18"/>
          <w:szCs w:val="18"/>
          <w:lang w:eastAsia="de-DE" w:bidi="en-US"/>
        </w:rPr>
        <w:t xml:space="preserve">Figure </w:t>
      </w:r>
      <w:r>
        <w:rPr>
          <w:rFonts w:ascii="Palatino Linotype" w:hAnsi="Palatino Linotype"/>
          <w:b/>
          <w:color w:val="000000"/>
          <w:sz w:val="18"/>
          <w:szCs w:val="18"/>
          <w:lang w:eastAsia="de-DE" w:bidi="en-US"/>
        </w:rPr>
        <w:t>S7</w:t>
      </w:r>
      <w:r w:rsidRPr="00CA4210">
        <w:rPr>
          <w:rFonts w:ascii="Palatino Linotype" w:hAnsi="Palatino Linotype"/>
          <w:b/>
          <w:color w:val="000000"/>
          <w:sz w:val="18"/>
          <w:szCs w:val="18"/>
          <w:lang w:eastAsia="de-DE" w:bidi="en-US"/>
        </w:rPr>
        <w:t>.</w:t>
      </w:r>
      <w:r w:rsidRPr="00CA4210">
        <w:rPr>
          <w:rFonts w:ascii="Palatino Linotype" w:hAnsi="Palatino Linotype"/>
          <w:color w:val="000000"/>
          <w:sz w:val="18"/>
          <w:szCs w:val="18"/>
          <w:lang w:eastAsia="de-DE" w:bidi="en-US"/>
        </w:rPr>
        <w:t xml:space="preserve"> PCA score / scatter plot of </w:t>
      </w:r>
      <w:r>
        <w:rPr>
          <w:rFonts w:ascii="Palatino Linotype" w:hAnsi="Palatino Linotype"/>
          <w:color w:val="000000"/>
          <w:sz w:val="18"/>
          <w:szCs w:val="18"/>
          <w:lang w:eastAsia="de-DE" w:bidi="en-US"/>
        </w:rPr>
        <w:t>stems</w:t>
      </w:r>
      <w:r w:rsidRPr="00CA4210">
        <w:rPr>
          <w:rFonts w:ascii="Palatino Linotype" w:hAnsi="Palatino Linotype"/>
          <w:color w:val="000000"/>
          <w:sz w:val="18"/>
          <w:szCs w:val="18"/>
          <w:lang w:eastAsia="de-DE" w:bidi="en-US"/>
        </w:rPr>
        <w:t xml:space="preserve"> samples computed from ESI-</w:t>
      </w:r>
      <w:r>
        <w:rPr>
          <w:rFonts w:ascii="Palatino Linotype" w:hAnsi="Palatino Linotype"/>
          <w:color w:val="000000"/>
          <w:sz w:val="18"/>
          <w:szCs w:val="18"/>
          <w:lang w:eastAsia="de-DE" w:bidi="en-US"/>
        </w:rPr>
        <w:t>negative</w:t>
      </w:r>
      <w:r w:rsidRPr="00CA4210">
        <w:rPr>
          <w:rFonts w:ascii="Palatino Linotype" w:hAnsi="Palatino Linotype"/>
          <w:color w:val="000000"/>
          <w:sz w:val="18"/>
          <w:szCs w:val="18"/>
          <w:lang w:eastAsia="de-DE" w:bidi="en-US"/>
        </w:rPr>
        <w:t xml:space="preserve"> data representing the first two PCs of a 1</w:t>
      </w:r>
      <w:r>
        <w:rPr>
          <w:rFonts w:ascii="Palatino Linotype" w:hAnsi="Palatino Linotype"/>
          <w:color w:val="000000"/>
          <w:sz w:val="18"/>
          <w:szCs w:val="18"/>
          <w:lang w:eastAsia="de-DE" w:bidi="en-US"/>
        </w:rPr>
        <w:t>5</w:t>
      </w:r>
      <w:r w:rsidRPr="00CA4210">
        <w:rPr>
          <w:rFonts w:ascii="Palatino Linotype" w:hAnsi="Palatino Linotype"/>
          <w:color w:val="000000"/>
          <w:sz w:val="18"/>
          <w:szCs w:val="18"/>
          <w:lang w:eastAsia="de-DE" w:bidi="en-US"/>
        </w:rPr>
        <w:t xml:space="preserve">-component PCA model. The model explains </w:t>
      </w:r>
      <w:r w:rsidR="00F80ED7">
        <w:rPr>
          <w:rFonts w:ascii="Palatino Linotype" w:hAnsi="Palatino Linotype"/>
          <w:color w:val="000000"/>
          <w:sz w:val="18"/>
          <w:szCs w:val="18"/>
          <w:lang w:eastAsia="de-DE" w:bidi="en-US"/>
        </w:rPr>
        <w:t>63.8</w:t>
      </w:r>
      <w:r w:rsidRPr="00CA4210">
        <w:rPr>
          <w:rFonts w:ascii="Palatino Linotype" w:hAnsi="Palatino Linotype"/>
          <w:color w:val="000000"/>
          <w:sz w:val="18"/>
          <w:szCs w:val="18"/>
          <w:lang w:eastAsia="de-DE" w:bidi="en-US"/>
        </w:rPr>
        <w:t>% variation in the Pareto-scaled data (R</w:t>
      </w:r>
      <w:r w:rsidRPr="00A56474">
        <w:rPr>
          <w:rFonts w:ascii="Palatino Linotype" w:hAnsi="Palatino Linotype"/>
          <w:color w:val="000000"/>
          <w:sz w:val="18"/>
          <w:szCs w:val="18"/>
          <w:vertAlign w:val="superscript"/>
          <w:lang w:eastAsia="de-DE" w:bidi="en-US"/>
        </w:rPr>
        <w:t>2</w:t>
      </w:r>
      <w:r w:rsidRPr="00CA4210">
        <w:rPr>
          <w:rFonts w:ascii="Palatino Linotype" w:hAnsi="Palatino Linotype"/>
          <w:color w:val="000000"/>
          <w:sz w:val="18"/>
          <w:szCs w:val="18"/>
          <w:lang w:eastAsia="de-DE" w:bidi="en-US"/>
        </w:rPr>
        <w:t>X = 0.</w:t>
      </w:r>
      <w:r>
        <w:rPr>
          <w:rFonts w:ascii="Palatino Linotype" w:hAnsi="Palatino Linotype"/>
          <w:color w:val="000000"/>
          <w:sz w:val="18"/>
          <w:szCs w:val="18"/>
          <w:lang w:eastAsia="de-DE" w:bidi="en-US"/>
        </w:rPr>
        <w:t>6</w:t>
      </w:r>
      <w:r w:rsidR="00F80ED7">
        <w:rPr>
          <w:rFonts w:ascii="Palatino Linotype" w:hAnsi="Palatino Linotype"/>
          <w:color w:val="000000"/>
          <w:sz w:val="18"/>
          <w:szCs w:val="18"/>
          <w:lang w:eastAsia="de-DE" w:bidi="en-US"/>
        </w:rPr>
        <w:t>38</w:t>
      </w:r>
      <w:r w:rsidRPr="00CA4210">
        <w:rPr>
          <w:rFonts w:ascii="Palatino Linotype" w:hAnsi="Palatino Linotype"/>
          <w:color w:val="000000"/>
          <w:sz w:val="18"/>
          <w:szCs w:val="18"/>
          <w:lang w:eastAsia="de-DE" w:bidi="en-US"/>
        </w:rPr>
        <w:t xml:space="preserve">) and </w:t>
      </w:r>
      <w:r w:rsidR="00F80ED7">
        <w:rPr>
          <w:rFonts w:ascii="Palatino Linotype" w:hAnsi="Palatino Linotype"/>
          <w:color w:val="000000"/>
          <w:sz w:val="18"/>
          <w:szCs w:val="18"/>
          <w:lang w:eastAsia="de-DE" w:bidi="en-US"/>
        </w:rPr>
        <w:t>31.1</w:t>
      </w:r>
      <w:r w:rsidRPr="00CA4210">
        <w:rPr>
          <w:rFonts w:ascii="Palatino Linotype" w:hAnsi="Palatino Linotype"/>
          <w:color w:val="000000"/>
          <w:sz w:val="18"/>
          <w:szCs w:val="18"/>
          <w:lang w:eastAsia="de-DE" w:bidi="en-US"/>
        </w:rPr>
        <w:t>% predicted variation according to cross-validation (Q</w:t>
      </w:r>
      <w:r w:rsidRPr="00A56474">
        <w:rPr>
          <w:rFonts w:ascii="Palatino Linotype" w:hAnsi="Palatino Linotype"/>
          <w:color w:val="000000"/>
          <w:sz w:val="18"/>
          <w:szCs w:val="18"/>
          <w:vertAlign w:val="superscript"/>
          <w:lang w:eastAsia="de-DE" w:bidi="en-US"/>
        </w:rPr>
        <w:t>2</w:t>
      </w:r>
      <w:r w:rsidRPr="00CA4210">
        <w:rPr>
          <w:rFonts w:ascii="Palatino Linotype" w:hAnsi="Palatino Linotype"/>
          <w:color w:val="000000"/>
          <w:sz w:val="18"/>
          <w:szCs w:val="18"/>
          <w:lang w:eastAsia="de-DE" w:bidi="en-US"/>
        </w:rPr>
        <w:t xml:space="preserve"> =0.</w:t>
      </w:r>
      <w:r w:rsidR="00F80ED7">
        <w:rPr>
          <w:rFonts w:ascii="Palatino Linotype" w:hAnsi="Palatino Linotype"/>
          <w:color w:val="000000"/>
          <w:sz w:val="18"/>
          <w:szCs w:val="18"/>
          <w:lang w:eastAsia="de-DE" w:bidi="en-US"/>
        </w:rPr>
        <w:t>311</w:t>
      </w:r>
      <w:r w:rsidRPr="00CA4210">
        <w:rPr>
          <w:rFonts w:ascii="Palatino Linotype" w:hAnsi="Palatino Linotype"/>
          <w:color w:val="000000"/>
          <w:sz w:val="18"/>
          <w:szCs w:val="18"/>
          <w:lang w:eastAsia="de-DE" w:bidi="en-US"/>
        </w:rPr>
        <w:t>). (</w:t>
      </w:r>
      <w:r w:rsidRPr="00710F67">
        <w:rPr>
          <w:rFonts w:ascii="Palatino Linotype" w:hAnsi="Palatino Linotype"/>
          <w:b/>
          <w:color w:val="000000"/>
          <w:sz w:val="18"/>
          <w:szCs w:val="18"/>
          <w:lang w:eastAsia="de-DE" w:bidi="en-US"/>
        </w:rPr>
        <w:t>A</w:t>
      </w:r>
      <w:r w:rsidRPr="00CA4210">
        <w:rPr>
          <w:rFonts w:ascii="Palatino Linotype" w:hAnsi="Palatino Linotype"/>
          <w:color w:val="000000"/>
          <w:sz w:val="18"/>
          <w:szCs w:val="18"/>
          <w:lang w:eastAsia="de-DE" w:bidi="en-US"/>
        </w:rPr>
        <w:t xml:space="preserve"> and </w:t>
      </w:r>
      <w:r w:rsidRPr="00710F67">
        <w:rPr>
          <w:rFonts w:ascii="Palatino Linotype" w:hAnsi="Palatino Linotype"/>
          <w:b/>
          <w:color w:val="000000"/>
          <w:sz w:val="18"/>
          <w:szCs w:val="18"/>
          <w:lang w:eastAsia="de-DE" w:bidi="en-US"/>
        </w:rPr>
        <w:t>B</w:t>
      </w:r>
      <w:r w:rsidRPr="00CA4210">
        <w:rPr>
          <w:rFonts w:ascii="Palatino Linotype" w:hAnsi="Palatino Linotype"/>
          <w:color w:val="000000"/>
          <w:sz w:val="18"/>
          <w:szCs w:val="18"/>
          <w:lang w:eastAsia="de-DE" w:bidi="en-US"/>
        </w:rPr>
        <w:t>) represents the same PCA scores plot with (</w:t>
      </w:r>
      <w:r w:rsidRPr="00710F67">
        <w:rPr>
          <w:rFonts w:ascii="Palatino Linotype" w:hAnsi="Palatino Linotype"/>
          <w:b/>
          <w:color w:val="000000"/>
          <w:sz w:val="18"/>
          <w:szCs w:val="18"/>
          <w:lang w:eastAsia="de-DE" w:bidi="en-US"/>
        </w:rPr>
        <w:t>A</w:t>
      </w:r>
      <w:r w:rsidRPr="00CA4210">
        <w:rPr>
          <w:rFonts w:ascii="Palatino Linotype" w:hAnsi="Palatino Linotype"/>
          <w:color w:val="000000"/>
          <w:sz w:val="18"/>
          <w:szCs w:val="18"/>
          <w:lang w:eastAsia="de-DE" w:bidi="en-US"/>
        </w:rPr>
        <w:t>) showing the treatment-related clustering and (</w:t>
      </w:r>
      <w:r w:rsidRPr="00710F67">
        <w:rPr>
          <w:rFonts w:ascii="Palatino Linotype" w:hAnsi="Palatino Linotype"/>
          <w:b/>
          <w:color w:val="000000"/>
          <w:sz w:val="18"/>
          <w:szCs w:val="18"/>
          <w:lang w:eastAsia="de-DE" w:bidi="en-US"/>
        </w:rPr>
        <w:t>B</w:t>
      </w:r>
      <w:r w:rsidRPr="00CA4210">
        <w:rPr>
          <w:rFonts w:ascii="Palatino Linotype" w:hAnsi="Palatino Linotype"/>
          <w:color w:val="000000"/>
          <w:sz w:val="18"/>
          <w:szCs w:val="18"/>
          <w:lang w:eastAsia="de-DE" w:bidi="en-US"/>
        </w:rPr>
        <w:t>) showing the time-related clustering. (</w:t>
      </w:r>
      <w:r w:rsidRPr="00710F67">
        <w:rPr>
          <w:rFonts w:ascii="Palatino Linotype" w:hAnsi="Palatino Linotype"/>
          <w:b/>
          <w:color w:val="000000"/>
          <w:sz w:val="18"/>
          <w:szCs w:val="18"/>
          <w:lang w:eastAsia="de-DE" w:bidi="en-US"/>
        </w:rPr>
        <w:t>C</w:t>
      </w:r>
      <w:r w:rsidRPr="00CA4210">
        <w:rPr>
          <w:rFonts w:ascii="Palatino Linotype" w:hAnsi="Palatino Linotype"/>
          <w:color w:val="000000"/>
          <w:sz w:val="18"/>
          <w:szCs w:val="18"/>
          <w:lang w:eastAsia="de-DE" w:bidi="en-US"/>
        </w:rPr>
        <w:t xml:space="preserve"> and </w:t>
      </w:r>
      <w:r w:rsidRPr="00710F67">
        <w:rPr>
          <w:rFonts w:ascii="Palatino Linotype" w:hAnsi="Palatino Linotype"/>
          <w:b/>
          <w:color w:val="000000"/>
          <w:sz w:val="18"/>
          <w:szCs w:val="18"/>
          <w:lang w:eastAsia="de-DE" w:bidi="en-US"/>
        </w:rPr>
        <w:t>D</w:t>
      </w:r>
      <w:r w:rsidRPr="00CA4210">
        <w:rPr>
          <w:rFonts w:ascii="Palatino Linotype" w:hAnsi="Palatino Linotype"/>
          <w:color w:val="000000"/>
          <w:sz w:val="18"/>
          <w:szCs w:val="18"/>
          <w:lang w:eastAsia="de-DE" w:bidi="en-US"/>
        </w:rPr>
        <w:t>) HCA dendrograms corresponding to (</w:t>
      </w:r>
      <w:r w:rsidRPr="00710F67">
        <w:rPr>
          <w:rFonts w:ascii="Palatino Linotype" w:hAnsi="Palatino Linotype"/>
          <w:b/>
          <w:color w:val="000000"/>
          <w:sz w:val="18"/>
          <w:szCs w:val="18"/>
          <w:lang w:eastAsia="de-DE" w:bidi="en-US"/>
        </w:rPr>
        <w:t>A</w:t>
      </w:r>
      <w:r w:rsidRPr="00CA4210">
        <w:rPr>
          <w:rFonts w:ascii="Palatino Linotype" w:hAnsi="Palatino Linotype"/>
          <w:color w:val="000000"/>
          <w:sz w:val="18"/>
          <w:szCs w:val="18"/>
          <w:lang w:eastAsia="de-DE" w:bidi="en-US"/>
        </w:rPr>
        <w:t xml:space="preserve"> and </w:t>
      </w:r>
      <w:r w:rsidRPr="00710F67">
        <w:rPr>
          <w:rFonts w:ascii="Palatino Linotype" w:hAnsi="Palatino Linotype"/>
          <w:b/>
          <w:color w:val="000000"/>
          <w:sz w:val="18"/>
          <w:szCs w:val="18"/>
          <w:lang w:eastAsia="de-DE" w:bidi="en-US"/>
        </w:rPr>
        <w:t>B</w:t>
      </w:r>
      <w:r w:rsidRPr="00CA4210">
        <w:rPr>
          <w:rFonts w:ascii="Palatino Linotype" w:hAnsi="Palatino Linotype"/>
          <w:color w:val="000000"/>
          <w:sz w:val="18"/>
          <w:szCs w:val="18"/>
          <w:lang w:eastAsia="de-DE" w:bidi="en-US"/>
        </w:rPr>
        <w:t xml:space="preserve">). Legend: QC: Quality control (grey); Fp: Naïve plants inoculated with </w:t>
      </w:r>
      <w:r w:rsidRPr="00396C96">
        <w:rPr>
          <w:rFonts w:ascii="Palatino Linotype" w:hAnsi="Palatino Linotype"/>
          <w:i/>
          <w:color w:val="000000"/>
          <w:sz w:val="18"/>
          <w:szCs w:val="18"/>
          <w:lang w:eastAsia="de-DE" w:bidi="en-US"/>
        </w:rPr>
        <w:t>F. pseudograminearum</w:t>
      </w:r>
      <w:r w:rsidRPr="00CA4210">
        <w:rPr>
          <w:rFonts w:ascii="Palatino Linotype" w:hAnsi="Palatino Linotype"/>
          <w:color w:val="000000"/>
          <w:sz w:val="18"/>
          <w:szCs w:val="18"/>
          <w:lang w:eastAsia="de-DE" w:bidi="en-US"/>
        </w:rPr>
        <w:t xml:space="preserve"> (blue); FpPGPR: </w:t>
      </w:r>
      <w:r w:rsidRPr="00A56474">
        <w:rPr>
          <w:rFonts w:ascii="Palatino Linotype" w:hAnsi="Palatino Linotype"/>
          <w:i/>
          <w:color w:val="000000"/>
          <w:sz w:val="18"/>
          <w:szCs w:val="18"/>
          <w:lang w:eastAsia="de-DE" w:bidi="en-US"/>
        </w:rPr>
        <w:t>P. alvei</w:t>
      </w:r>
      <w:r w:rsidRPr="00CA4210">
        <w:rPr>
          <w:rFonts w:ascii="Palatino Linotype" w:hAnsi="Palatino Linotype"/>
          <w:color w:val="000000"/>
          <w:sz w:val="18"/>
          <w:szCs w:val="18"/>
          <w:lang w:eastAsia="de-DE" w:bidi="en-US"/>
        </w:rPr>
        <w:t xml:space="preserve">-primed plants inoculated with </w:t>
      </w:r>
      <w:r w:rsidRPr="00396C96">
        <w:rPr>
          <w:rFonts w:ascii="Palatino Linotype" w:hAnsi="Palatino Linotype"/>
          <w:i/>
          <w:color w:val="000000"/>
          <w:sz w:val="18"/>
          <w:szCs w:val="18"/>
          <w:lang w:eastAsia="de-DE" w:bidi="en-US"/>
        </w:rPr>
        <w:t xml:space="preserve">F. pseudograminearum </w:t>
      </w:r>
      <w:r w:rsidRPr="00CA4210">
        <w:rPr>
          <w:rFonts w:ascii="Palatino Linotype" w:hAnsi="Palatino Linotype"/>
          <w:color w:val="000000"/>
          <w:sz w:val="18"/>
          <w:szCs w:val="18"/>
          <w:lang w:eastAsia="de-DE" w:bidi="en-US"/>
        </w:rPr>
        <w:t xml:space="preserve">(green); PGPR: </w:t>
      </w:r>
      <w:r w:rsidRPr="00783E51">
        <w:rPr>
          <w:rFonts w:ascii="Palatino Linotype" w:hAnsi="Palatino Linotype"/>
          <w:i/>
          <w:color w:val="000000"/>
          <w:sz w:val="18"/>
          <w:szCs w:val="18"/>
          <w:lang w:eastAsia="de-DE" w:bidi="en-US"/>
        </w:rPr>
        <w:t>P. alvei</w:t>
      </w:r>
      <w:r w:rsidRPr="00CA4210">
        <w:rPr>
          <w:rFonts w:ascii="Palatino Linotype" w:hAnsi="Palatino Linotype"/>
          <w:color w:val="000000"/>
          <w:sz w:val="18"/>
          <w:szCs w:val="18"/>
          <w:lang w:eastAsia="de-DE" w:bidi="en-US"/>
        </w:rPr>
        <w:t xml:space="preserve">-primed plants (red); Cont: Untreated plants (black); 1 d.p.i.: 1 d.p.i. with </w:t>
      </w:r>
      <w:r w:rsidRPr="00396C96">
        <w:rPr>
          <w:rFonts w:ascii="Palatino Linotype" w:hAnsi="Palatino Linotype"/>
          <w:i/>
          <w:color w:val="000000"/>
          <w:sz w:val="18"/>
          <w:szCs w:val="18"/>
          <w:lang w:eastAsia="de-DE" w:bidi="en-US"/>
        </w:rPr>
        <w:t>F. pseudograminearum</w:t>
      </w:r>
      <w:r w:rsidRPr="00CA4210">
        <w:rPr>
          <w:rFonts w:ascii="Palatino Linotype" w:hAnsi="Palatino Linotype"/>
          <w:color w:val="000000"/>
          <w:sz w:val="18"/>
          <w:szCs w:val="18"/>
          <w:lang w:eastAsia="de-DE" w:bidi="en-US"/>
        </w:rPr>
        <w:t xml:space="preserve"> (red); 4 d.p.i.: 4 d.p.i. with </w:t>
      </w:r>
      <w:r w:rsidRPr="00396C96">
        <w:rPr>
          <w:rFonts w:ascii="Palatino Linotype" w:hAnsi="Palatino Linotype"/>
          <w:i/>
          <w:color w:val="000000"/>
          <w:sz w:val="18"/>
          <w:szCs w:val="18"/>
          <w:lang w:eastAsia="de-DE" w:bidi="en-US"/>
        </w:rPr>
        <w:t>F. pseudograminearum</w:t>
      </w:r>
      <w:r w:rsidRPr="00CA4210">
        <w:rPr>
          <w:rFonts w:ascii="Palatino Linotype" w:hAnsi="Palatino Linotype"/>
          <w:color w:val="000000"/>
          <w:sz w:val="18"/>
          <w:szCs w:val="18"/>
          <w:lang w:eastAsia="de-DE" w:bidi="en-US"/>
        </w:rPr>
        <w:t xml:space="preserve"> (blue); 7 d.p.i.: 7 d.p.i. with </w:t>
      </w:r>
      <w:r w:rsidRPr="00396C96">
        <w:rPr>
          <w:rFonts w:ascii="Palatino Linotype" w:hAnsi="Palatino Linotype"/>
          <w:i/>
          <w:color w:val="000000"/>
          <w:sz w:val="18"/>
          <w:szCs w:val="18"/>
          <w:lang w:eastAsia="de-DE" w:bidi="en-US"/>
        </w:rPr>
        <w:t>F. pseudograminearum</w:t>
      </w:r>
      <w:r w:rsidRPr="00CA4210">
        <w:rPr>
          <w:rFonts w:ascii="Palatino Linotype" w:hAnsi="Palatino Linotype"/>
          <w:color w:val="000000"/>
          <w:sz w:val="18"/>
          <w:szCs w:val="18"/>
          <w:lang w:eastAsia="de-DE" w:bidi="en-US"/>
        </w:rPr>
        <w:t xml:space="preserve"> (green)</w:t>
      </w:r>
      <w:r w:rsidR="00B170CD">
        <w:rPr>
          <w:rFonts w:ascii="Palatino Linotype" w:hAnsi="Palatino Linotype"/>
          <w:color w:val="000000"/>
          <w:sz w:val="18"/>
          <w:szCs w:val="18"/>
          <w:lang w:eastAsia="de-DE" w:bidi="en-US"/>
        </w:rPr>
        <w:t>.</w:t>
      </w:r>
    </w:p>
    <w:p w14:paraId="17B1BB70" w14:textId="77777777" w:rsidR="00922BAA" w:rsidRPr="00CA4210" w:rsidRDefault="00922BAA" w:rsidP="00B170CD">
      <w:pPr>
        <w:pStyle w:val="NormalWeb"/>
        <w:snapToGrid w:val="0"/>
        <w:spacing w:before="120" w:beforeAutospacing="0" w:after="240" w:afterAutospacing="0"/>
        <w:ind w:left="425" w:right="425"/>
        <w:jc w:val="both"/>
        <w:rPr>
          <w:rFonts w:ascii="Palatino Linotype" w:hAnsi="Palatino Linotype"/>
          <w:color w:val="000000"/>
          <w:sz w:val="18"/>
          <w:szCs w:val="18"/>
          <w:lang w:eastAsia="de-DE" w:bidi="en-US"/>
        </w:rPr>
      </w:pPr>
    </w:p>
    <w:p w14:paraId="2B83B98E" w14:textId="267CADB7" w:rsidR="00095F62" w:rsidRPr="00A21B37" w:rsidRDefault="00B170CD" w:rsidP="00B170CD">
      <w:pPr>
        <w:spacing w:line="260" w:lineRule="atLeast"/>
        <w:jc w:val="center"/>
        <w:rPr>
          <w:rFonts w:ascii="Palatino Linotype" w:hAnsi="Palatino Linotype"/>
          <w:b/>
          <w:sz w:val="20"/>
          <w:szCs w:val="20"/>
        </w:rPr>
      </w:pPr>
      <w:r>
        <w:rPr>
          <w:noProof/>
          <w:lang w:eastAsia="en-ZA"/>
        </w:rPr>
        <w:drawing>
          <wp:inline distT="0" distB="0" distL="0" distR="0" wp14:anchorId="18210758" wp14:editId="54F7EC1E">
            <wp:extent cx="4106431" cy="2520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leaves neg.bmp"/>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106431" cy="2520000"/>
                    </a:xfrm>
                    <a:prstGeom prst="rect">
                      <a:avLst/>
                    </a:prstGeom>
                  </pic:spPr>
                </pic:pic>
              </a:graphicData>
            </a:graphic>
          </wp:inline>
        </w:drawing>
      </w:r>
    </w:p>
    <w:p w14:paraId="62656EF5" w14:textId="5608813A" w:rsidR="00F80ED7" w:rsidRPr="00CA4210" w:rsidRDefault="00F80ED7" w:rsidP="00F80ED7">
      <w:pPr>
        <w:pStyle w:val="NormalWeb"/>
        <w:snapToGrid w:val="0"/>
        <w:spacing w:before="120" w:beforeAutospacing="0" w:after="240" w:afterAutospacing="0"/>
        <w:ind w:left="425" w:right="425"/>
        <w:jc w:val="both"/>
        <w:rPr>
          <w:rFonts w:ascii="Palatino Linotype" w:hAnsi="Palatino Linotype"/>
          <w:color w:val="000000"/>
          <w:sz w:val="18"/>
          <w:szCs w:val="18"/>
          <w:lang w:eastAsia="de-DE" w:bidi="en-US"/>
        </w:rPr>
      </w:pPr>
      <w:r w:rsidRPr="00CA4210">
        <w:rPr>
          <w:rFonts w:ascii="Palatino Linotype" w:hAnsi="Palatino Linotype"/>
          <w:b/>
          <w:color w:val="000000"/>
          <w:sz w:val="18"/>
          <w:szCs w:val="18"/>
          <w:lang w:eastAsia="de-DE" w:bidi="en-US"/>
        </w:rPr>
        <w:t xml:space="preserve">Figure </w:t>
      </w:r>
      <w:r>
        <w:rPr>
          <w:rFonts w:ascii="Palatino Linotype" w:hAnsi="Palatino Linotype"/>
          <w:b/>
          <w:color w:val="000000"/>
          <w:sz w:val="18"/>
          <w:szCs w:val="18"/>
          <w:lang w:eastAsia="de-DE" w:bidi="en-US"/>
        </w:rPr>
        <w:t>S</w:t>
      </w:r>
      <w:r w:rsidR="00A742E7">
        <w:rPr>
          <w:rFonts w:ascii="Palatino Linotype" w:hAnsi="Palatino Linotype"/>
          <w:b/>
          <w:color w:val="000000"/>
          <w:sz w:val="18"/>
          <w:szCs w:val="18"/>
          <w:lang w:eastAsia="de-DE" w:bidi="en-US"/>
        </w:rPr>
        <w:t>8</w:t>
      </w:r>
      <w:r w:rsidRPr="00CA4210">
        <w:rPr>
          <w:rFonts w:ascii="Palatino Linotype" w:hAnsi="Palatino Linotype"/>
          <w:b/>
          <w:color w:val="000000"/>
          <w:sz w:val="18"/>
          <w:szCs w:val="18"/>
          <w:lang w:eastAsia="de-DE" w:bidi="en-US"/>
        </w:rPr>
        <w:t>.</w:t>
      </w:r>
      <w:r w:rsidRPr="00CA4210">
        <w:rPr>
          <w:rFonts w:ascii="Palatino Linotype" w:hAnsi="Palatino Linotype"/>
          <w:color w:val="000000"/>
          <w:sz w:val="18"/>
          <w:szCs w:val="18"/>
          <w:lang w:eastAsia="de-DE" w:bidi="en-US"/>
        </w:rPr>
        <w:t xml:space="preserve"> PCA score / scatter plot of </w:t>
      </w:r>
      <w:r>
        <w:rPr>
          <w:rFonts w:ascii="Palatino Linotype" w:hAnsi="Palatino Linotype"/>
          <w:color w:val="000000"/>
          <w:sz w:val="18"/>
          <w:szCs w:val="18"/>
          <w:lang w:eastAsia="de-DE" w:bidi="en-US"/>
        </w:rPr>
        <w:t>leaves</w:t>
      </w:r>
      <w:r w:rsidRPr="00CA4210">
        <w:rPr>
          <w:rFonts w:ascii="Palatino Linotype" w:hAnsi="Palatino Linotype"/>
          <w:color w:val="000000"/>
          <w:sz w:val="18"/>
          <w:szCs w:val="18"/>
          <w:lang w:eastAsia="de-DE" w:bidi="en-US"/>
        </w:rPr>
        <w:t xml:space="preserve"> samples computed from ESI-</w:t>
      </w:r>
      <w:r>
        <w:rPr>
          <w:rFonts w:ascii="Palatino Linotype" w:hAnsi="Palatino Linotype"/>
          <w:color w:val="000000"/>
          <w:sz w:val="18"/>
          <w:szCs w:val="18"/>
          <w:lang w:eastAsia="de-DE" w:bidi="en-US"/>
        </w:rPr>
        <w:t>negative</w:t>
      </w:r>
      <w:r w:rsidRPr="00CA4210">
        <w:rPr>
          <w:rFonts w:ascii="Palatino Linotype" w:hAnsi="Palatino Linotype"/>
          <w:color w:val="000000"/>
          <w:sz w:val="18"/>
          <w:szCs w:val="18"/>
          <w:lang w:eastAsia="de-DE" w:bidi="en-US"/>
        </w:rPr>
        <w:t xml:space="preserve"> data representing the first two PCs of a </w:t>
      </w:r>
      <w:r w:rsidR="00541ECC">
        <w:rPr>
          <w:rFonts w:ascii="Palatino Linotype" w:hAnsi="Palatino Linotype"/>
          <w:color w:val="000000"/>
          <w:sz w:val="18"/>
          <w:szCs w:val="18"/>
          <w:lang w:eastAsia="de-DE" w:bidi="en-US"/>
        </w:rPr>
        <w:t>13</w:t>
      </w:r>
      <w:r w:rsidRPr="00CA4210">
        <w:rPr>
          <w:rFonts w:ascii="Palatino Linotype" w:hAnsi="Palatino Linotype"/>
          <w:color w:val="000000"/>
          <w:sz w:val="18"/>
          <w:szCs w:val="18"/>
          <w:lang w:eastAsia="de-DE" w:bidi="en-US"/>
        </w:rPr>
        <w:t xml:space="preserve">-component PCA model. The model explains </w:t>
      </w:r>
      <w:r w:rsidR="00541ECC">
        <w:rPr>
          <w:rFonts w:ascii="Palatino Linotype" w:hAnsi="Palatino Linotype"/>
          <w:color w:val="000000"/>
          <w:sz w:val="18"/>
          <w:szCs w:val="18"/>
          <w:lang w:eastAsia="de-DE" w:bidi="en-US"/>
        </w:rPr>
        <w:t>57.8</w:t>
      </w:r>
      <w:r w:rsidRPr="00CA4210">
        <w:rPr>
          <w:rFonts w:ascii="Palatino Linotype" w:hAnsi="Palatino Linotype"/>
          <w:color w:val="000000"/>
          <w:sz w:val="18"/>
          <w:szCs w:val="18"/>
          <w:lang w:eastAsia="de-DE" w:bidi="en-US"/>
        </w:rPr>
        <w:t>% variation in the Pareto-scaled data (R</w:t>
      </w:r>
      <w:r w:rsidRPr="00A56474">
        <w:rPr>
          <w:rFonts w:ascii="Palatino Linotype" w:hAnsi="Palatino Linotype"/>
          <w:color w:val="000000"/>
          <w:sz w:val="18"/>
          <w:szCs w:val="18"/>
          <w:vertAlign w:val="superscript"/>
          <w:lang w:eastAsia="de-DE" w:bidi="en-US"/>
        </w:rPr>
        <w:t>2</w:t>
      </w:r>
      <w:r w:rsidRPr="00CA4210">
        <w:rPr>
          <w:rFonts w:ascii="Palatino Linotype" w:hAnsi="Palatino Linotype"/>
          <w:color w:val="000000"/>
          <w:sz w:val="18"/>
          <w:szCs w:val="18"/>
          <w:lang w:eastAsia="de-DE" w:bidi="en-US"/>
        </w:rPr>
        <w:t>X = 0.</w:t>
      </w:r>
      <w:r w:rsidR="00F86448">
        <w:rPr>
          <w:rFonts w:ascii="Palatino Linotype" w:hAnsi="Palatino Linotype"/>
          <w:color w:val="000000"/>
          <w:sz w:val="18"/>
          <w:szCs w:val="18"/>
          <w:lang w:eastAsia="de-DE" w:bidi="en-US"/>
        </w:rPr>
        <w:t>57</w:t>
      </w:r>
      <w:r w:rsidR="00541ECC">
        <w:rPr>
          <w:rFonts w:ascii="Palatino Linotype" w:hAnsi="Palatino Linotype"/>
          <w:color w:val="000000"/>
          <w:sz w:val="18"/>
          <w:szCs w:val="18"/>
          <w:lang w:eastAsia="de-DE" w:bidi="en-US"/>
        </w:rPr>
        <w:t>8</w:t>
      </w:r>
      <w:r w:rsidRPr="00CA4210">
        <w:rPr>
          <w:rFonts w:ascii="Palatino Linotype" w:hAnsi="Palatino Linotype"/>
          <w:color w:val="000000"/>
          <w:sz w:val="18"/>
          <w:szCs w:val="18"/>
          <w:lang w:eastAsia="de-DE" w:bidi="en-US"/>
        </w:rPr>
        <w:t xml:space="preserve">) and </w:t>
      </w:r>
      <w:r w:rsidR="00F00305">
        <w:rPr>
          <w:rFonts w:ascii="Palatino Linotype" w:hAnsi="Palatino Linotype"/>
          <w:color w:val="000000"/>
          <w:sz w:val="18"/>
          <w:szCs w:val="18"/>
          <w:lang w:eastAsia="de-DE" w:bidi="en-US"/>
        </w:rPr>
        <w:t>33.8</w:t>
      </w:r>
      <w:r w:rsidRPr="00CA4210">
        <w:rPr>
          <w:rFonts w:ascii="Palatino Linotype" w:hAnsi="Palatino Linotype"/>
          <w:color w:val="000000"/>
          <w:sz w:val="18"/>
          <w:szCs w:val="18"/>
          <w:lang w:eastAsia="de-DE" w:bidi="en-US"/>
        </w:rPr>
        <w:t>% predicted variation according to cross-validation (Q</w:t>
      </w:r>
      <w:r w:rsidRPr="00A56474">
        <w:rPr>
          <w:rFonts w:ascii="Palatino Linotype" w:hAnsi="Palatino Linotype"/>
          <w:color w:val="000000"/>
          <w:sz w:val="18"/>
          <w:szCs w:val="18"/>
          <w:vertAlign w:val="superscript"/>
          <w:lang w:eastAsia="de-DE" w:bidi="en-US"/>
        </w:rPr>
        <w:t>2</w:t>
      </w:r>
      <w:r w:rsidRPr="00CA4210">
        <w:rPr>
          <w:rFonts w:ascii="Palatino Linotype" w:hAnsi="Palatino Linotype"/>
          <w:color w:val="000000"/>
          <w:sz w:val="18"/>
          <w:szCs w:val="18"/>
          <w:lang w:eastAsia="de-DE" w:bidi="en-US"/>
        </w:rPr>
        <w:t xml:space="preserve"> =0.</w:t>
      </w:r>
      <w:r w:rsidR="00541ECC">
        <w:rPr>
          <w:rFonts w:ascii="Palatino Linotype" w:hAnsi="Palatino Linotype"/>
          <w:color w:val="000000"/>
          <w:sz w:val="18"/>
          <w:szCs w:val="18"/>
          <w:lang w:eastAsia="de-DE" w:bidi="en-US"/>
        </w:rPr>
        <w:t>338</w:t>
      </w:r>
      <w:r w:rsidRPr="00CA4210">
        <w:rPr>
          <w:rFonts w:ascii="Palatino Linotype" w:hAnsi="Palatino Linotype"/>
          <w:color w:val="000000"/>
          <w:sz w:val="18"/>
          <w:szCs w:val="18"/>
          <w:lang w:eastAsia="de-DE" w:bidi="en-US"/>
        </w:rPr>
        <w:t>). (</w:t>
      </w:r>
      <w:r w:rsidRPr="00710F67">
        <w:rPr>
          <w:rFonts w:ascii="Palatino Linotype" w:hAnsi="Palatino Linotype"/>
          <w:b/>
          <w:color w:val="000000"/>
          <w:sz w:val="18"/>
          <w:szCs w:val="18"/>
          <w:lang w:eastAsia="de-DE" w:bidi="en-US"/>
        </w:rPr>
        <w:t>A</w:t>
      </w:r>
      <w:r w:rsidRPr="00CA4210">
        <w:rPr>
          <w:rFonts w:ascii="Palatino Linotype" w:hAnsi="Palatino Linotype"/>
          <w:color w:val="000000"/>
          <w:sz w:val="18"/>
          <w:szCs w:val="18"/>
          <w:lang w:eastAsia="de-DE" w:bidi="en-US"/>
        </w:rPr>
        <w:t xml:space="preserve"> and </w:t>
      </w:r>
      <w:r w:rsidRPr="00710F67">
        <w:rPr>
          <w:rFonts w:ascii="Palatino Linotype" w:hAnsi="Palatino Linotype"/>
          <w:b/>
          <w:color w:val="000000"/>
          <w:sz w:val="18"/>
          <w:szCs w:val="18"/>
          <w:lang w:eastAsia="de-DE" w:bidi="en-US"/>
        </w:rPr>
        <w:t>B</w:t>
      </w:r>
      <w:r w:rsidRPr="00CA4210">
        <w:rPr>
          <w:rFonts w:ascii="Palatino Linotype" w:hAnsi="Palatino Linotype"/>
          <w:color w:val="000000"/>
          <w:sz w:val="18"/>
          <w:szCs w:val="18"/>
          <w:lang w:eastAsia="de-DE" w:bidi="en-US"/>
        </w:rPr>
        <w:t>) represents the same PCA scores plot with (</w:t>
      </w:r>
      <w:r w:rsidRPr="00710F67">
        <w:rPr>
          <w:rFonts w:ascii="Palatino Linotype" w:hAnsi="Palatino Linotype"/>
          <w:b/>
          <w:color w:val="000000"/>
          <w:sz w:val="18"/>
          <w:szCs w:val="18"/>
          <w:lang w:eastAsia="de-DE" w:bidi="en-US"/>
        </w:rPr>
        <w:t>A</w:t>
      </w:r>
      <w:r w:rsidRPr="00CA4210">
        <w:rPr>
          <w:rFonts w:ascii="Palatino Linotype" w:hAnsi="Palatino Linotype"/>
          <w:color w:val="000000"/>
          <w:sz w:val="18"/>
          <w:szCs w:val="18"/>
          <w:lang w:eastAsia="de-DE" w:bidi="en-US"/>
        </w:rPr>
        <w:t>) showing the treatment-related clustering and (</w:t>
      </w:r>
      <w:r w:rsidRPr="00710F67">
        <w:rPr>
          <w:rFonts w:ascii="Palatino Linotype" w:hAnsi="Palatino Linotype"/>
          <w:b/>
          <w:color w:val="000000"/>
          <w:sz w:val="18"/>
          <w:szCs w:val="18"/>
          <w:lang w:eastAsia="de-DE" w:bidi="en-US"/>
        </w:rPr>
        <w:t>B</w:t>
      </w:r>
      <w:r w:rsidRPr="00CA4210">
        <w:rPr>
          <w:rFonts w:ascii="Palatino Linotype" w:hAnsi="Palatino Linotype"/>
          <w:color w:val="000000"/>
          <w:sz w:val="18"/>
          <w:szCs w:val="18"/>
          <w:lang w:eastAsia="de-DE" w:bidi="en-US"/>
        </w:rPr>
        <w:t>) showing the time-related clustering. (</w:t>
      </w:r>
      <w:r w:rsidRPr="00710F67">
        <w:rPr>
          <w:rFonts w:ascii="Palatino Linotype" w:hAnsi="Palatino Linotype"/>
          <w:b/>
          <w:color w:val="000000"/>
          <w:sz w:val="18"/>
          <w:szCs w:val="18"/>
          <w:lang w:eastAsia="de-DE" w:bidi="en-US"/>
        </w:rPr>
        <w:t>C</w:t>
      </w:r>
      <w:r w:rsidRPr="00CA4210">
        <w:rPr>
          <w:rFonts w:ascii="Palatino Linotype" w:hAnsi="Palatino Linotype"/>
          <w:color w:val="000000"/>
          <w:sz w:val="18"/>
          <w:szCs w:val="18"/>
          <w:lang w:eastAsia="de-DE" w:bidi="en-US"/>
        </w:rPr>
        <w:t xml:space="preserve"> and </w:t>
      </w:r>
      <w:r w:rsidRPr="00710F67">
        <w:rPr>
          <w:rFonts w:ascii="Palatino Linotype" w:hAnsi="Palatino Linotype"/>
          <w:b/>
          <w:color w:val="000000"/>
          <w:sz w:val="18"/>
          <w:szCs w:val="18"/>
          <w:lang w:eastAsia="de-DE" w:bidi="en-US"/>
        </w:rPr>
        <w:t>D</w:t>
      </w:r>
      <w:r w:rsidRPr="00CA4210">
        <w:rPr>
          <w:rFonts w:ascii="Palatino Linotype" w:hAnsi="Palatino Linotype"/>
          <w:color w:val="000000"/>
          <w:sz w:val="18"/>
          <w:szCs w:val="18"/>
          <w:lang w:eastAsia="de-DE" w:bidi="en-US"/>
        </w:rPr>
        <w:t>) HCA dendrograms corresponding to (</w:t>
      </w:r>
      <w:r w:rsidRPr="00710F67">
        <w:rPr>
          <w:rFonts w:ascii="Palatino Linotype" w:hAnsi="Palatino Linotype"/>
          <w:b/>
          <w:color w:val="000000"/>
          <w:sz w:val="18"/>
          <w:szCs w:val="18"/>
          <w:lang w:eastAsia="de-DE" w:bidi="en-US"/>
        </w:rPr>
        <w:t>A</w:t>
      </w:r>
      <w:r w:rsidRPr="00CA4210">
        <w:rPr>
          <w:rFonts w:ascii="Palatino Linotype" w:hAnsi="Palatino Linotype"/>
          <w:color w:val="000000"/>
          <w:sz w:val="18"/>
          <w:szCs w:val="18"/>
          <w:lang w:eastAsia="de-DE" w:bidi="en-US"/>
        </w:rPr>
        <w:t xml:space="preserve"> and </w:t>
      </w:r>
      <w:r w:rsidRPr="00710F67">
        <w:rPr>
          <w:rFonts w:ascii="Palatino Linotype" w:hAnsi="Palatino Linotype"/>
          <w:b/>
          <w:color w:val="000000"/>
          <w:sz w:val="18"/>
          <w:szCs w:val="18"/>
          <w:lang w:eastAsia="de-DE" w:bidi="en-US"/>
        </w:rPr>
        <w:t>B</w:t>
      </w:r>
      <w:r w:rsidRPr="00CA4210">
        <w:rPr>
          <w:rFonts w:ascii="Palatino Linotype" w:hAnsi="Palatino Linotype"/>
          <w:color w:val="000000"/>
          <w:sz w:val="18"/>
          <w:szCs w:val="18"/>
          <w:lang w:eastAsia="de-DE" w:bidi="en-US"/>
        </w:rPr>
        <w:t xml:space="preserve">). Legend: QC: Quality control (grey); Fp: Naïve plants inoculated with </w:t>
      </w:r>
      <w:r w:rsidRPr="00396C96">
        <w:rPr>
          <w:rFonts w:ascii="Palatino Linotype" w:hAnsi="Palatino Linotype"/>
          <w:i/>
          <w:color w:val="000000"/>
          <w:sz w:val="18"/>
          <w:szCs w:val="18"/>
          <w:lang w:eastAsia="de-DE" w:bidi="en-US"/>
        </w:rPr>
        <w:t>F. pseudograminearum</w:t>
      </w:r>
      <w:r w:rsidRPr="00CA4210">
        <w:rPr>
          <w:rFonts w:ascii="Palatino Linotype" w:hAnsi="Palatino Linotype"/>
          <w:color w:val="000000"/>
          <w:sz w:val="18"/>
          <w:szCs w:val="18"/>
          <w:lang w:eastAsia="de-DE" w:bidi="en-US"/>
        </w:rPr>
        <w:t xml:space="preserve"> (blue); FpPGPR: </w:t>
      </w:r>
      <w:r w:rsidRPr="00A56474">
        <w:rPr>
          <w:rFonts w:ascii="Palatino Linotype" w:hAnsi="Palatino Linotype"/>
          <w:i/>
          <w:color w:val="000000"/>
          <w:sz w:val="18"/>
          <w:szCs w:val="18"/>
          <w:lang w:eastAsia="de-DE" w:bidi="en-US"/>
        </w:rPr>
        <w:t>P. alvei</w:t>
      </w:r>
      <w:r w:rsidRPr="00CA4210">
        <w:rPr>
          <w:rFonts w:ascii="Palatino Linotype" w:hAnsi="Palatino Linotype"/>
          <w:color w:val="000000"/>
          <w:sz w:val="18"/>
          <w:szCs w:val="18"/>
          <w:lang w:eastAsia="de-DE" w:bidi="en-US"/>
        </w:rPr>
        <w:t xml:space="preserve">-primed plants inoculated with </w:t>
      </w:r>
      <w:r w:rsidRPr="00396C96">
        <w:rPr>
          <w:rFonts w:ascii="Palatino Linotype" w:hAnsi="Palatino Linotype"/>
          <w:i/>
          <w:color w:val="000000"/>
          <w:sz w:val="18"/>
          <w:szCs w:val="18"/>
          <w:lang w:eastAsia="de-DE" w:bidi="en-US"/>
        </w:rPr>
        <w:t xml:space="preserve">F. pseudograminearum </w:t>
      </w:r>
      <w:r w:rsidRPr="00CA4210">
        <w:rPr>
          <w:rFonts w:ascii="Palatino Linotype" w:hAnsi="Palatino Linotype"/>
          <w:color w:val="000000"/>
          <w:sz w:val="18"/>
          <w:szCs w:val="18"/>
          <w:lang w:eastAsia="de-DE" w:bidi="en-US"/>
        </w:rPr>
        <w:t xml:space="preserve">(green); PGPR: </w:t>
      </w:r>
      <w:r w:rsidRPr="00783E51">
        <w:rPr>
          <w:rFonts w:ascii="Palatino Linotype" w:hAnsi="Palatino Linotype"/>
          <w:i/>
          <w:color w:val="000000"/>
          <w:sz w:val="18"/>
          <w:szCs w:val="18"/>
          <w:lang w:eastAsia="de-DE" w:bidi="en-US"/>
        </w:rPr>
        <w:t>P. alvei</w:t>
      </w:r>
      <w:r w:rsidRPr="00CA4210">
        <w:rPr>
          <w:rFonts w:ascii="Palatino Linotype" w:hAnsi="Palatino Linotype"/>
          <w:color w:val="000000"/>
          <w:sz w:val="18"/>
          <w:szCs w:val="18"/>
          <w:lang w:eastAsia="de-DE" w:bidi="en-US"/>
        </w:rPr>
        <w:t xml:space="preserve">-primed plants (red); Cont: Untreated plants (black); 1 d.p.i.: 1 d.p.i. with </w:t>
      </w:r>
      <w:r w:rsidRPr="00396C96">
        <w:rPr>
          <w:rFonts w:ascii="Palatino Linotype" w:hAnsi="Palatino Linotype"/>
          <w:i/>
          <w:color w:val="000000"/>
          <w:sz w:val="18"/>
          <w:szCs w:val="18"/>
          <w:lang w:eastAsia="de-DE" w:bidi="en-US"/>
        </w:rPr>
        <w:t>F. pseudograminearum</w:t>
      </w:r>
      <w:r w:rsidRPr="00CA4210">
        <w:rPr>
          <w:rFonts w:ascii="Palatino Linotype" w:hAnsi="Palatino Linotype"/>
          <w:color w:val="000000"/>
          <w:sz w:val="18"/>
          <w:szCs w:val="18"/>
          <w:lang w:eastAsia="de-DE" w:bidi="en-US"/>
        </w:rPr>
        <w:t xml:space="preserve"> (red); 4 d.p.i.: 4 d.p.i. with </w:t>
      </w:r>
      <w:r w:rsidRPr="00396C96">
        <w:rPr>
          <w:rFonts w:ascii="Palatino Linotype" w:hAnsi="Palatino Linotype"/>
          <w:i/>
          <w:color w:val="000000"/>
          <w:sz w:val="18"/>
          <w:szCs w:val="18"/>
          <w:lang w:eastAsia="de-DE" w:bidi="en-US"/>
        </w:rPr>
        <w:t>F. pseudograminearum</w:t>
      </w:r>
      <w:r w:rsidRPr="00CA4210">
        <w:rPr>
          <w:rFonts w:ascii="Palatino Linotype" w:hAnsi="Palatino Linotype"/>
          <w:color w:val="000000"/>
          <w:sz w:val="18"/>
          <w:szCs w:val="18"/>
          <w:lang w:eastAsia="de-DE" w:bidi="en-US"/>
        </w:rPr>
        <w:t xml:space="preserve"> (blue); 7 d.p.i.: 7 d.p.i. with </w:t>
      </w:r>
      <w:r w:rsidRPr="00396C96">
        <w:rPr>
          <w:rFonts w:ascii="Palatino Linotype" w:hAnsi="Palatino Linotype"/>
          <w:i/>
          <w:color w:val="000000"/>
          <w:sz w:val="18"/>
          <w:szCs w:val="18"/>
          <w:lang w:eastAsia="de-DE" w:bidi="en-US"/>
        </w:rPr>
        <w:t>F. pseudograminearum</w:t>
      </w:r>
      <w:r w:rsidRPr="00CA4210">
        <w:rPr>
          <w:rFonts w:ascii="Palatino Linotype" w:hAnsi="Palatino Linotype"/>
          <w:color w:val="000000"/>
          <w:sz w:val="18"/>
          <w:szCs w:val="18"/>
          <w:lang w:eastAsia="de-DE" w:bidi="en-US"/>
        </w:rPr>
        <w:t xml:space="preserve"> (green).</w:t>
      </w:r>
    </w:p>
    <w:p w14:paraId="77723946" w14:textId="77777777" w:rsidR="00095F62" w:rsidRPr="00A21B37" w:rsidRDefault="00095F62" w:rsidP="00A21B37">
      <w:pPr>
        <w:spacing w:line="260" w:lineRule="atLeast"/>
        <w:rPr>
          <w:rFonts w:ascii="Palatino Linotype" w:hAnsi="Palatino Linotype"/>
          <w:color w:val="000000"/>
          <w:sz w:val="20"/>
          <w:szCs w:val="20"/>
        </w:rPr>
      </w:pPr>
      <w:r w:rsidRPr="00A21B37">
        <w:rPr>
          <w:rFonts w:ascii="Palatino Linotype" w:hAnsi="Palatino Linotype"/>
          <w:color w:val="000000"/>
          <w:sz w:val="20"/>
          <w:szCs w:val="20"/>
        </w:rPr>
        <w:br w:type="page"/>
      </w:r>
    </w:p>
    <w:p w14:paraId="740C3793" w14:textId="77777777" w:rsidR="00095F62" w:rsidRPr="00A21B37" w:rsidRDefault="00095F62" w:rsidP="00A21B37">
      <w:pPr>
        <w:spacing w:line="260" w:lineRule="atLeast"/>
        <w:jc w:val="both"/>
        <w:rPr>
          <w:rFonts w:ascii="Palatino Linotype" w:hAnsi="Palatino Linotype"/>
          <w:color w:val="000000"/>
          <w:sz w:val="20"/>
          <w:szCs w:val="20"/>
        </w:rPr>
      </w:pPr>
    </w:p>
    <w:p w14:paraId="53D214CC" w14:textId="63C36037" w:rsidR="00095F62" w:rsidRPr="00A21B37" w:rsidRDefault="00A21B37" w:rsidP="00A21B37">
      <w:pPr>
        <w:spacing w:line="260" w:lineRule="atLeast"/>
        <w:jc w:val="center"/>
        <w:rPr>
          <w:rFonts w:ascii="Palatino Linotype" w:hAnsi="Palatino Linotype"/>
          <w:color w:val="000000"/>
          <w:sz w:val="20"/>
          <w:szCs w:val="20"/>
        </w:rPr>
      </w:pPr>
      <w:r>
        <w:rPr>
          <w:rFonts w:ascii="Palatino Linotype" w:hAnsi="Palatino Linotype"/>
          <w:noProof/>
          <w:color w:val="000000"/>
          <w:sz w:val="20"/>
          <w:szCs w:val="20"/>
          <w:lang w:eastAsia="en-ZA"/>
        </w:rPr>
        <w:drawing>
          <wp:inline distT="0" distB="0" distL="0" distR="0" wp14:anchorId="55736961" wp14:editId="768030E0">
            <wp:extent cx="4059450" cy="2520000"/>
            <wp:effectExtent l="0" t="0" r="508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PLSDA STEMS POS ISRESISTANCE.TIF"/>
                    <pic:cNvPicPr/>
                  </pic:nvPicPr>
                  <pic:blipFill>
                    <a:blip r:embed="rId17"/>
                    <a:stretch>
                      <a:fillRect/>
                    </a:stretch>
                  </pic:blipFill>
                  <pic:spPr>
                    <a:xfrm>
                      <a:off x="0" y="0"/>
                      <a:ext cx="4059450" cy="2520000"/>
                    </a:xfrm>
                    <a:prstGeom prst="rect">
                      <a:avLst/>
                    </a:prstGeom>
                  </pic:spPr>
                </pic:pic>
              </a:graphicData>
            </a:graphic>
          </wp:inline>
        </w:drawing>
      </w:r>
    </w:p>
    <w:p w14:paraId="023C3462" w14:textId="3A823097" w:rsidR="00095F62" w:rsidRPr="00B170CD" w:rsidRDefault="00095F62" w:rsidP="00B170CD">
      <w:pPr>
        <w:spacing w:before="120" w:after="240" w:line="260" w:lineRule="atLeast"/>
        <w:ind w:left="425" w:right="425"/>
        <w:jc w:val="both"/>
        <w:rPr>
          <w:rFonts w:ascii="Palatino Linotype" w:hAnsi="Palatino Linotype"/>
          <w:color w:val="000000"/>
          <w:sz w:val="18"/>
          <w:szCs w:val="18"/>
        </w:rPr>
      </w:pPr>
      <w:r w:rsidRPr="00A21B37">
        <w:rPr>
          <w:rFonts w:ascii="Palatino Linotype" w:hAnsi="Palatino Linotype"/>
          <w:b/>
          <w:sz w:val="18"/>
          <w:szCs w:val="18"/>
        </w:rPr>
        <w:t>Figure S</w:t>
      </w:r>
      <w:r w:rsidR="00A742E7">
        <w:rPr>
          <w:rFonts w:ascii="Palatino Linotype" w:hAnsi="Palatino Linotype"/>
          <w:b/>
          <w:sz w:val="18"/>
          <w:szCs w:val="18"/>
        </w:rPr>
        <w:t>9</w:t>
      </w:r>
      <w:r w:rsidRPr="00A21B37">
        <w:rPr>
          <w:rFonts w:ascii="Palatino Linotype" w:hAnsi="Palatino Linotype"/>
          <w:b/>
          <w:sz w:val="18"/>
          <w:szCs w:val="18"/>
        </w:rPr>
        <w:t>.</w:t>
      </w:r>
      <w:r w:rsidRPr="00A21B37">
        <w:rPr>
          <w:rFonts w:ascii="Palatino Linotype" w:hAnsi="Palatino Linotype"/>
          <w:sz w:val="18"/>
          <w:szCs w:val="18"/>
        </w:rPr>
        <w:t xml:space="preserve"> </w:t>
      </w:r>
      <w:r w:rsidRPr="00A21B37">
        <w:rPr>
          <w:rFonts w:ascii="Palatino Linotype" w:hAnsi="Palatino Linotype"/>
          <w:bCs/>
          <w:color w:val="000000"/>
          <w:sz w:val="18"/>
          <w:szCs w:val="18"/>
        </w:rPr>
        <w:t>OPLS-DA modelling and variable/feature selection ESI-positive data (stem samples).</w:t>
      </w:r>
      <w:r w:rsidRPr="00A21B37">
        <w:rPr>
          <w:rFonts w:ascii="Palatino Linotype" w:hAnsi="Palatino Linotype"/>
          <w:color w:val="000000"/>
          <w:sz w:val="18"/>
          <w:szCs w:val="18"/>
        </w:rPr>
        <w:t xml:space="preserve"> (</w:t>
      </w:r>
      <w:r w:rsidRPr="00D46DBA">
        <w:rPr>
          <w:rFonts w:ascii="Palatino Linotype" w:hAnsi="Palatino Linotype"/>
          <w:b/>
          <w:bCs/>
          <w:color w:val="000000"/>
          <w:sz w:val="18"/>
          <w:szCs w:val="18"/>
        </w:rPr>
        <w:t>A</w:t>
      </w:r>
      <w:r w:rsidRPr="00A21B37">
        <w:rPr>
          <w:rFonts w:ascii="Palatino Linotype" w:hAnsi="Palatino Linotype"/>
          <w:color w:val="000000"/>
          <w:sz w:val="18"/>
          <w:szCs w:val="18"/>
        </w:rPr>
        <w:t xml:space="preserve">) </w:t>
      </w:r>
      <w:r w:rsidRPr="00A21B37">
        <w:rPr>
          <w:rFonts w:ascii="Palatino Linotype" w:hAnsi="Palatino Linotype"/>
          <w:bCs/>
          <w:color w:val="000000"/>
          <w:sz w:val="18"/>
          <w:szCs w:val="18"/>
        </w:rPr>
        <w:t>A typical PCA scores / scatter</w:t>
      </w:r>
      <w:r w:rsidRPr="00A21B37">
        <w:rPr>
          <w:rFonts w:ascii="Palatino Linotype" w:hAnsi="Palatino Linotype"/>
          <w:color w:val="000000"/>
          <w:sz w:val="18"/>
          <w:szCs w:val="18"/>
        </w:rPr>
        <w:t xml:space="preserve"> plot for the OPLS-DA model separating naïve (Fp) vs primed plants (FpPGPR) at 1 d.p.i. (1 + 2 + 0 components, R</w:t>
      </w:r>
      <w:r w:rsidRPr="00A21B37">
        <w:rPr>
          <w:rFonts w:ascii="Palatino Linotype" w:hAnsi="Palatino Linotype"/>
          <w:color w:val="000000"/>
          <w:sz w:val="18"/>
          <w:szCs w:val="18"/>
          <w:vertAlign w:val="superscript"/>
        </w:rPr>
        <w:t>2</w:t>
      </w:r>
      <w:r w:rsidRPr="00A21B37">
        <w:rPr>
          <w:rFonts w:ascii="Palatino Linotype" w:hAnsi="Palatino Linotype"/>
          <w:color w:val="000000"/>
          <w:sz w:val="18"/>
          <w:szCs w:val="18"/>
        </w:rPr>
        <w:t>X = 0.615, Q</w:t>
      </w:r>
      <w:r w:rsidRPr="00A21B37">
        <w:rPr>
          <w:rFonts w:ascii="Palatino Linotype" w:hAnsi="Palatino Linotype"/>
          <w:color w:val="000000"/>
          <w:sz w:val="18"/>
          <w:szCs w:val="18"/>
          <w:vertAlign w:val="superscript"/>
        </w:rPr>
        <w:t xml:space="preserve">2 </w:t>
      </w:r>
      <w:r w:rsidRPr="00A21B37">
        <w:rPr>
          <w:rFonts w:ascii="Palatino Linotype" w:hAnsi="Palatino Linotype"/>
          <w:color w:val="000000"/>
          <w:sz w:val="18"/>
          <w:szCs w:val="18"/>
        </w:rPr>
        <w:t xml:space="preserve">= 0.961, CV-ANOVA </w:t>
      </w:r>
      <w:r w:rsidRPr="00A21B37">
        <w:rPr>
          <w:rFonts w:ascii="Palatino Linotype" w:hAnsi="Palatino Linotype"/>
          <w:i/>
          <w:iCs/>
          <w:color w:val="000000"/>
          <w:sz w:val="18"/>
          <w:szCs w:val="18"/>
        </w:rPr>
        <w:t>p</w:t>
      </w:r>
      <w:r w:rsidRPr="00A21B37">
        <w:rPr>
          <w:rFonts w:ascii="Palatino Linotype" w:hAnsi="Palatino Linotype"/>
          <w:color w:val="000000"/>
          <w:sz w:val="18"/>
          <w:szCs w:val="18"/>
        </w:rPr>
        <w:t>-value &lt; 0.05). In the scores plot, it is evident that the two groups are clearly separated: naïve vs primed. (</w:t>
      </w:r>
      <w:r w:rsidRPr="00D46DBA">
        <w:rPr>
          <w:rFonts w:ascii="Palatino Linotype" w:hAnsi="Palatino Linotype"/>
          <w:b/>
          <w:bCs/>
          <w:color w:val="000000"/>
          <w:sz w:val="18"/>
          <w:szCs w:val="18"/>
        </w:rPr>
        <w:t>B</w:t>
      </w:r>
      <w:r w:rsidRPr="00A21B37">
        <w:rPr>
          <w:rFonts w:ascii="Palatino Linotype" w:hAnsi="Palatino Linotype"/>
          <w:color w:val="000000"/>
          <w:sz w:val="18"/>
          <w:szCs w:val="18"/>
        </w:rPr>
        <w:t xml:space="preserve">) </w:t>
      </w:r>
      <w:r w:rsidRPr="00A21B37">
        <w:rPr>
          <w:rFonts w:ascii="Palatino Linotype" w:hAnsi="Palatino Linotype"/>
          <w:bCs/>
          <w:color w:val="000000"/>
          <w:sz w:val="18"/>
          <w:szCs w:val="18"/>
        </w:rPr>
        <w:t>A typical response permutation test plot</w:t>
      </w:r>
      <w:r w:rsidRPr="00A21B37">
        <w:rPr>
          <w:rFonts w:ascii="Palatino Linotype" w:hAnsi="Palatino Linotype"/>
          <w:color w:val="000000"/>
          <w:sz w:val="18"/>
          <w:szCs w:val="18"/>
        </w:rPr>
        <w:t xml:space="preserve"> (n = 100) for the OPLS-DA model in (A); the R</w:t>
      </w:r>
      <w:r w:rsidRPr="00A21B37">
        <w:rPr>
          <w:rFonts w:ascii="Palatino Linotype" w:hAnsi="Palatino Linotype"/>
          <w:color w:val="000000"/>
          <w:sz w:val="18"/>
          <w:szCs w:val="18"/>
          <w:vertAlign w:val="superscript"/>
        </w:rPr>
        <w:t xml:space="preserve">2 </w:t>
      </w:r>
      <w:r w:rsidRPr="00A21B37">
        <w:rPr>
          <w:rFonts w:ascii="Palatino Linotype" w:hAnsi="Palatino Linotype"/>
          <w:color w:val="000000"/>
          <w:sz w:val="18"/>
          <w:szCs w:val="18"/>
        </w:rPr>
        <w:t>and Q</w:t>
      </w:r>
      <w:r w:rsidRPr="00A21B37">
        <w:rPr>
          <w:rFonts w:ascii="Palatino Linotype" w:hAnsi="Palatino Linotype"/>
          <w:color w:val="000000"/>
          <w:sz w:val="18"/>
          <w:szCs w:val="18"/>
          <w:vertAlign w:val="superscript"/>
        </w:rPr>
        <w:t xml:space="preserve">2 </w:t>
      </w:r>
      <w:r w:rsidRPr="00A21B37">
        <w:rPr>
          <w:rFonts w:ascii="Palatino Linotype" w:hAnsi="Palatino Linotype"/>
          <w:color w:val="000000"/>
          <w:sz w:val="18"/>
          <w:szCs w:val="18"/>
        </w:rPr>
        <w:t xml:space="preserve">values of the permutated models correspond to </w:t>
      </w:r>
      <w:r w:rsidRPr="00A21B37">
        <w:rPr>
          <w:rFonts w:ascii="Palatino Linotype" w:hAnsi="Palatino Linotype"/>
          <w:i/>
          <w:iCs/>
          <w:color w:val="000000"/>
          <w:sz w:val="18"/>
          <w:szCs w:val="18"/>
        </w:rPr>
        <w:t>y</w:t>
      </w:r>
      <w:r w:rsidRPr="00A21B37">
        <w:rPr>
          <w:rFonts w:ascii="Palatino Linotype" w:hAnsi="Palatino Linotype"/>
          <w:color w:val="000000"/>
          <w:sz w:val="18"/>
          <w:szCs w:val="18"/>
        </w:rPr>
        <w:t>-axis intercepts: R</w:t>
      </w:r>
      <w:r w:rsidRPr="00A21B37">
        <w:rPr>
          <w:rFonts w:ascii="Palatino Linotype" w:hAnsi="Palatino Linotype"/>
          <w:color w:val="000000"/>
          <w:sz w:val="18"/>
          <w:szCs w:val="18"/>
          <w:vertAlign w:val="superscript"/>
        </w:rPr>
        <w:t xml:space="preserve">2 </w:t>
      </w:r>
      <w:r w:rsidRPr="00A21B37">
        <w:rPr>
          <w:rFonts w:ascii="Palatino Linotype" w:hAnsi="Palatino Linotype"/>
          <w:color w:val="000000"/>
          <w:sz w:val="18"/>
          <w:szCs w:val="18"/>
        </w:rPr>
        <w:t>= (0.0, 0.807) and Q</w:t>
      </w:r>
      <w:r w:rsidRPr="00A21B37">
        <w:rPr>
          <w:rFonts w:ascii="Palatino Linotype" w:hAnsi="Palatino Linotype"/>
          <w:color w:val="000000"/>
          <w:sz w:val="18"/>
          <w:szCs w:val="18"/>
          <w:vertAlign w:val="superscript"/>
        </w:rPr>
        <w:t xml:space="preserve">2 </w:t>
      </w:r>
      <w:r w:rsidR="00CE6F8F">
        <w:rPr>
          <w:rFonts w:ascii="Palatino Linotype" w:hAnsi="Palatino Linotype"/>
          <w:color w:val="000000"/>
          <w:sz w:val="18"/>
          <w:szCs w:val="18"/>
        </w:rPr>
        <w:t>= (0.0, -0.516).</w:t>
      </w:r>
      <w:r w:rsidRPr="00A21B37">
        <w:rPr>
          <w:rFonts w:ascii="Palatino Linotype" w:hAnsi="Palatino Linotype"/>
          <w:color w:val="000000"/>
          <w:sz w:val="18"/>
          <w:szCs w:val="18"/>
        </w:rPr>
        <w:t xml:space="preserve"> (</w:t>
      </w:r>
      <w:r w:rsidRPr="00D46DBA">
        <w:rPr>
          <w:rFonts w:ascii="Palatino Linotype" w:hAnsi="Palatino Linotype"/>
          <w:b/>
          <w:bCs/>
          <w:color w:val="000000"/>
          <w:sz w:val="18"/>
          <w:szCs w:val="18"/>
        </w:rPr>
        <w:t>C</w:t>
      </w:r>
      <w:r w:rsidRPr="00A21B37">
        <w:rPr>
          <w:rFonts w:ascii="Palatino Linotype" w:hAnsi="Palatino Linotype"/>
          <w:color w:val="000000"/>
          <w:sz w:val="18"/>
          <w:szCs w:val="18"/>
        </w:rPr>
        <w:t xml:space="preserve">) An OPLS-DA </w:t>
      </w:r>
      <w:r w:rsidRPr="00A21B37">
        <w:rPr>
          <w:rFonts w:ascii="Palatino Linotype" w:hAnsi="Palatino Linotype"/>
          <w:bCs/>
          <w:color w:val="000000"/>
          <w:sz w:val="18"/>
          <w:szCs w:val="18"/>
        </w:rPr>
        <w:t>loadings S-plot</w:t>
      </w:r>
      <w:r w:rsidRPr="00A21B37">
        <w:rPr>
          <w:rFonts w:ascii="Palatino Linotype" w:hAnsi="Palatino Linotype"/>
          <w:color w:val="000000"/>
          <w:sz w:val="18"/>
          <w:szCs w:val="18"/>
        </w:rPr>
        <w:t xml:space="preserve"> for the same model in (A); variables situated in the extreme end of the S-plot are statistically relevant and represent prime candidates as discriminating variables/features. (</w:t>
      </w:r>
      <w:r w:rsidRPr="00D46DBA">
        <w:rPr>
          <w:rFonts w:ascii="Palatino Linotype" w:hAnsi="Palatino Linotype"/>
          <w:b/>
          <w:bCs/>
          <w:color w:val="000000"/>
          <w:sz w:val="18"/>
          <w:szCs w:val="18"/>
        </w:rPr>
        <w:t>D</w:t>
      </w:r>
      <w:r w:rsidRPr="00A21B37">
        <w:rPr>
          <w:rFonts w:ascii="Palatino Linotype" w:hAnsi="Palatino Linotype"/>
          <w:color w:val="000000"/>
          <w:sz w:val="18"/>
          <w:szCs w:val="18"/>
        </w:rPr>
        <w:t xml:space="preserve">) A </w:t>
      </w:r>
      <w:r w:rsidRPr="00A21B37">
        <w:rPr>
          <w:rFonts w:ascii="Palatino Linotype" w:hAnsi="Palatino Linotype"/>
          <w:bCs/>
          <w:color w:val="000000"/>
          <w:sz w:val="18"/>
          <w:szCs w:val="18"/>
        </w:rPr>
        <w:t>variable importance for the projection (VIP) plot</w:t>
      </w:r>
      <w:r w:rsidRPr="00A21B37">
        <w:rPr>
          <w:rFonts w:ascii="Palatino Linotype" w:hAnsi="Palatino Linotype"/>
          <w:color w:val="000000"/>
          <w:sz w:val="18"/>
          <w:szCs w:val="18"/>
        </w:rPr>
        <w:t xml:space="preserve"> for the same model; pointing mathematically to the importance of each variable (feature) in contributing to group separation in the OPLS-DA model. (C,D) Examples of the variables that were significantly up-regulated in primed plants are highlighted in red</w:t>
      </w:r>
      <w:r w:rsidR="00B170CD">
        <w:rPr>
          <w:rFonts w:ascii="Palatino Linotype" w:hAnsi="Palatino Linotype"/>
          <w:color w:val="000000"/>
          <w:sz w:val="18"/>
          <w:szCs w:val="18"/>
        </w:rPr>
        <w:t>.</w:t>
      </w:r>
    </w:p>
    <w:p w14:paraId="78B7FF43" w14:textId="77777777" w:rsidR="00B170CD" w:rsidRDefault="00B170CD">
      <w:pPr>
        <w:rPr>
          <w:rFonts w:ascii="Palatino Linotype" w:hAnsi="Palatino Linotype"/>
          <w:noProof/>
          <w:color w:val="000000"/>
          <w:sz w:val="20"/>
          <w:szCs w:val="20"/>
        </w:rPr>
      </w:pPr>
      <w:r>
        <w:rPr>
          <w:rFonts w:ascii="Palatino Linotype" w:hAnsi="Palatino Linotype"/>
          <w:noProof/>
          <w:color w:val="000000"/>
          <w:sz w:val="20"/>
          <w:szCs w:val="20"/>
        </w:rPr>
        <w:br w:type="page"/>
      </w:r>
    </w:p>
    <w:p w14:paraId="0315EAB0" w14:textId="309FACE1" w:rsidR="00095F62" w:rsidRPr="00A21B37" w:rsidRDefault="00A21B37" w:rsidP="00A21B37">
      <w:pPr>
        <w:spacing w:line="260" w:lineRule="atLeast"/>
        <w:jc w:val="center"/>
        <w:rPr>
          <w:rFonts w:ascii="Palatino Linotype" w:hAnsi="Palatino Linotype"/>
          <w:color w:val="000000"/>
          <w:sz w:val="20"/>
          <w:szCs w:val="20"/>
        </w:rPr>
      </w:pPr>
      <w:r>
        <w:rPr>
          <w:rFonts w:ascii="Palatino Linotype" w:hAnsi="Palatino Linotype"/>
          <w:noProof/>
          <w:color w:val="000000"/>
          <w:sz w:val="20"/>
          <w:szCs w:val="20"/>
          <w:lang w:eastAsia="en-ZA"/>
        </w:rPr>
        <w:lastRenderedPageBreak/>
        <w:drawing>
          <wp:inline distT="0" distB="0" distL="0" distR="0" wp14:anchorId="72FEEFCA" wp14:editId="735781D5">
            <wp:extent cx="4059450" cy="2520000"/>
            <wp:effectExtent l="0" t="0" r="508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PLSDA LEAVES POS ISRESISTANCE.TIF"/>
                    <pic:cNvPicPr/>
                  </pic:nvPicPr>
                  <pic:blipFill>
                    <a:blip r:embed="rId18"/>
                    <a:stretch>
                      <a:fillRect/>
                    </a:stretch>
                  </pic:blipFill>
                  <pic:spPr>
                    <a:xfrm>
                      <a:off x="0" y="0"/>
                      <a:ext cx="4059450" cy="2520000"/>
                    </a:xfrm>
                    <a:prstGeom prst="rect">
                      <a:avLst/>
                    </a:prstGeom>
                  </pic:spPr>
                </pic:pic>
              </a:graphicData>
            </a:graphic>
          </wp:inline>
        </w:drawing>
      </w:r>
    </w:p>
    <w:p w14:paraId="7AD90F0B" w14:textId="75A44491" w:rsidR="00F45925" w:rsidRDefault="00095F62" w:rsidP="00A21B37">
      <w:pPr>
        <w:spacing w:before="120" w:after="240" w:line="260" w:lineRule="atLeast"/>
        <w:ind w:left="425" w:right="425"/>
        <w:jc w:val="both"/>
        <w:rPr>
          <w:rFonts w:ascii="Palatino Linotype" w:hAnsi="Palatino Linotype"/>
          <w:color w:val="000000"/>
          <w:sz w:val="18"/>
          <w:szCs w:val="18"/>
        </w:rPr>
      </w:pPr>
      <w:r w:rsidRPr="00A21B37">
        <w:rPr>
          <w:rFonts w:ascii="Palatino Linotype" w:hAnsi="Palatino Linotype"/>
          <w:b/>
          <w:sz w:val="18"/>
          <w:szCs w:val="18"/>
        </w:rPr>
        <w:t>Figure S</w:t>
      </w:r>
      <w:r w:rsidR="00A742E7">
        <w:rPr>
          <w:rFonts w:ascii="Palatino Linotype" w:hAnsi="Palatino Linotype"/>
          <w:b/>
          <w:sz w:val="18"/>
          <w:szCs w:val="18"/>
        </w:rPr>
        <w:t>10</w:t>
      </w:r>
      <w:r w:rsidRPr="00A21B37">
        <w:rPr>
          <w:rFonts w:ascii="Palatino Linotype" w:hAnsi="Palatino Linotype"/>
          <w:b/>
          <w:sz w:val="18"/>
          <w:szCs w:val="18"/>
        </w:rPr>
        <w:t>.</w:t>
      </w:r>
      <w:r w:rsidRPr="00A21B37">
        <w:rPr>
          <w:rFonts w:ascii="Palatino Linotype" w:hAnsi="Palatino Linotype"/>
          <w:sz w:val="18"/>
          <w:szCs w:val="18"/>
        </w:rPr>
        <w:t xml:space="preserve"> </w:t>
      </w:r>
      <w:r w:rsidRPr="00A21B37">
        <w:rPr>
          <w:rFonts w:ascii="Palatino Linotype" w:hAnsi="Palatino Linotype"/>
          <w:bCs/>
          <w:color w:val="000000"/>
          <w:sz w:val="18"/>
          <w:szCs w:val="18"/>
        </w:rPr>
        <w:t>OPLS-DA modelling and variable/feature selection ESI-positive data (leaf samples).</w:t>
      </w:r>
      <w:r w:rsidRPr="00A21B37">
        <w:rPr>
          <w:rFonts w:ascii="Palatino Linotype" w:hAnsi="Palatino Linotype"/>
          <w:color w:val="000000"/>
          <w:sz w:val="18"/>
          <w:szCs w:val="18"/>
        </w:rPr>
        <w:t xml:space="preserve"> (</w:t>
      </w:r>
      <w:r w:rsidRPr="00D46DBA">
        <w:rPr>
          <w:rFonts w:ascii="Palatino Linotype" w:hAnsi="Palatino Linotype"/>
          <w:b/>
          <w:bCs/>
          <w:color w:val="000000"/>
          <w:sz w:val="18"/>
          <w:szCs w:val="18"/>
        </w:rPr>
        <w:t>A</w:t>
      </w:r>
      <w:r w:rsidRPr="00A21B37">
        <w:rPr>
          <w:rFonts w:ascii="Palatino Linotype" w:hAnsi="Palatino Linotype"/>
          <w:color w:val="000000"/>
          <w:sz w:val="18"/>
          <w:szCs w:val="18"/>
        </w:rPr>
        <w:t xml:space="preserve">) </w:t>
      </w:r>
      <w:r w:rsidRPr="00A21B37">
        <w:rPr>
          <w:rFonts w:ascii="Palatino Linotype" w:hAnsi="Palatino Linotype"/>
          <w:bCs/>
          <w:color w:val="000000"/>
          <w:sz w:val="18"/>
          <w:szCs w:val="18"/>
        </w:rPr>
        <w:t>A typical PCA scores / scatter</w:t>
      </w:r>
      <w:r w:rsidRPr="00A21B37">
        <w:rPr>
          <w:rFonts w:ascii="Palatino Linotype" w:hAnsi="Palatino Linotype"/>
          <w:color w:val="000000"/>
          <w:sz w:val="18"/>
          <w:szCs w:val="18"/>
        </w:rPr>
        <w:t xml:space="preserve"> plot for the OPLS-DA model separating naïve (Fp) vs primed plants (FpPGPR) at 1 d.p.i. (1 + 3 + 0 components, R</w:t>
      </w:r>
      <w:r w:rsidRPr="00A21B37">
        <w:rPr>
          <w:rFonts w:ascii="Palatino Linotype" w:hAnsi="Palatino Linotype"/>
          <w:color w:val="000000"/>
          <w:sz w:val="18"/>
          <w:szCs w:val="18"/>
          <w:vertAlign w:val="superscript"/>
        </w:rPr>
        <w:t>2</w:t>
      </w:r>
      <w:r w:rsidRPr="00A21B37">
        <w:rPr>
          <w:rFonts w:ascii="Palatino Linotype" w:hAnsi="Palatino Linotype"/>
          <w:color w:val="000000"/>
          <w:sz w:val="18"/>
          <w:szCs w:val="18"/>
        </w:rPr>
        <w:t>X = 0.594, Q</w:t>
      </w:r>
      <w:r w:rsidRPr="00A21B37">
        <w:rPr>
          <w:rFonts w:ascii="Palatino Linotype" w:hAnsi="Palatino Linotype"/>
          <w:color w:val="000000"/>
          <w:sz w:val="18"/>
          <w:szCs w:val="18"/>
          <w:vertAlign w:val="superscript"/>
        </w:rPr>
        <w:t xml:space="preserve">2 </w:t>
      </w:r>
      <w:r w:rsidRPr="00A21B37">
        <w:rPr>
          <w:rFonts w:ascii="Palatino Linotype" w:hAnsi="Palatino Linotype"/>
          <w:color w:val="000000"/>
          <w:sz w:val="18"/>
          <w:szCs w:val="18"/>
        </w:rPr>
        <w:t xml:space="preserve">= 0.943, CV-ANOVA </w:t>
      </w:r>
      <w:r w:rsidRPr="00A21B37">
        <w:rPr>
          <w:rFonts w:ascii="Palatino Linotype" w:hAnsi="Palatino Linotype"/>
          <w:i/>
          <w:iCs/>
          <w:color w:val="000000"/>
          <w:sz w:val="18"/>
          <w:szCs w:val="18"/>
        </w:rPr>
        <w:t>p</w:t>
      </w:r>
      <w:r w:rsidRPr="00A21B37">
        <w:rPr>
          <w:rFonts w:ascii="Palatino Linotype" w:hAnsi="Palatino Linotype"/>
          <w:color w:val="000000"/>
          <w:sz w:val="18"/>
          <w:szCs w:val="18"/>
        </w:rPr>
        <w:t>-value &lt; 0.05). In the scores plot, it is evident that the two groups are clearly separated: naïve vs primed. (</w:t>
      </w:r>
      <w:r w:rsidRPr="00D46DBA">
        <w:rPr>
          <w:rFonts w:ascii="Palatino Linotype" w:hAnsi="Palatino Linotype"/>
          <w:b/>
          <w:bCs/>
          <w:color w:val="000000"/>
          <w:sz w:val="18"/>
          <w:szCs w:val="18"/>
        </w:rPr>
        <w:t>B</w:t>
      </w:r>
      <w:r w:rsidRPr="00A21B37">
        <w:rPr>
          <w:rFonts w:ascii="Palatino Linotype" w:hAnsi="Palatino Linotype"/>
          <w:color w:val="000000"/>
          <w:sz w:val="18"/>
          <w:szCs w:val="18"/>
        </w:rPr>
        <w:t xml:space="preserve">) </w:t>
      </w:r>
      <w:r w:rsidRPr="00A21B37">
        <w:rPr>
          <w:rFonts w:ascii="Palatino Linotype" w:hAnsi="Palatino Linotype"/>
          <w:bCs/>
          <w:color w:val="000000"/>
          <w:sz w:val="18"/>
          <w:szCs w:val="18"/>
        </w:rPr>
        <w:t>A typical response permutation test plot</w:t>
      </w:r>
      <w:r w:rsidRPr="00A21B37">
        <w:rPr>
          <w:rFonts w:ascii="Palatino Linotype" w:hAnsi="Palatino Linotype"/>
          <w:color w:val="000000"/>
          <w:sz w:val="18"/>
          <w:szCs w:val="18"/>
        </w:rPr>
        <w:t xml:space="preserve"> (n = 100) for the OPLS-DA model in (A); the R</w:t>
      </w:r>
      <w:r w:rsidRPr="00A21B37">
        <w:rPr>
          <w:rFonts w:ascii="Palatino Linotype" w:hAnsi="Palatino Linotype"/>
          <w:color w:val="000000"/>
          <w:sz w:val="18"/>
          <w:szCs w:val="18"/>
          <w:vertAlign w:val="superscript"/>
        </w:rPr>
        <w:t>2</w:t>
      </w:r>
      <w:r w:rsidRPr="00A21B37">
        <w:rPr>
          <w:rFonts w:ascii="Palatino Linotype" w:hAnsi="Palatino Linotype"/>
          <w:color w:val="000000"/>
          <w:sz w:val="18"/>
          <w:szCs w:val="18"/>
        </w:rPr>
        <w:t xml:space="preserve"> and Q</w:t>
      </w:r>
      <w:r w:rsidRPr="00A21B37">
        <w:rPr>
          <w:rFonts w:ascii="Palatino Linotype" w:hAnsi="Palatino Linotype"/>
          <w:color w:val="000000"/>
          <w:sz w:val="18"/>
          <w:szCs w:val="18"/>
          <w:vertAlign w:val="superscript"/>
        </w:rPr>
        <w:t>2</w:t>
      </w:r>
      <w:r w:rsidRPr="00A21B37">
        <w:rPr>
          <w:rFonts w:ascii="Palatino Linotype" w:hAnsi="Palatino Linotype"/>
          <w:color w:val="000000"/>
          <w:sz w:val="18"/>
          <w:szCs w:val="18"/>
        </w:rPr>
        <w:t xml:space="preserve"> values of the permutated models correspond to </w:t>
      </w:r>
      <w:r w:rsidRPr="00A21B37">
        <w:rPr>
          <w:rFonts w:ascii="Palatino Linotype" w:hAnsi="Palatino Linotype"/>
          <w:i/>
          <w:iCs/>
          <w:color w:val="000000"/>
          <w:sz w:val="18"/>
          <w:szCs w:val="18"/>
        </w:rPr>
        <w:t>y</w:t>
      </w:r>
      <w:r w:rsidRPr="00A21B37">
        <w:rPr>
          <w:rFonts w:ascii="Palatino Linotype" w:hAnsi="Palatino Linotype"/>
          <w:color w:val="000000"/>
          <w:sz w:val="18"/>
          <w:szCs w:val="18"/>
        </w:rPr>
        <w:t>-axis intercepts: R</w:t>
      </w:r>
      <w:r w:rsidRPr="00A21B37">
        <w:rPr>
          <w:rFonts w:ascii="Palatino Linotype" w:hAnsi="Palatino Linotype"/>
          <w:color w:val="000000"/>
          <w:sz w:val="18"/>
          <w:szCs w:val="18"/>
          <w:vertAlign w:val="superscript"/>
        </w:rPr>
        <w:t xml:space="preserve">2 </w:t>
      </w:r>
      <w:r w:rsidRPr="00A21B37">
        <w:rPr>
          <w:rFonts w:ascii="Palatino Linotype" w:hAnsi="Palatino Linotype"/>
          <w:color w:val="000000"/>
          <w:sz w:val="18"/>
          <w:szCs w:val="18"/>
        </w:rPr>
        <w:t>= (0.0, 0.974) and Q</w:t>
      </w:r>
      <w:r w:rsidRPr="00A21B37">
        <w:rPr>
          <w:rFonts w:ascii="Palatino Linotype" w:hAnsi="Palatino Linotype"/>
          <w:color w:val="000000"/>
          <w:sz w:val="18"/>
          <w:szCs w:val="18"/>
          <w:vertAlign w:val="superscript"/>
        </w:rPr>
        <w:t xml:space="preserve">2 </w:t>
      </w:r>
      <w:r w:rsidR="00D46DBA">
        <w:rPr>
          <w:rFonts w:ascii="Palatino Linotype" w:hAnsi="Palatino Linotype"/>
          <w:color w:val="000000"/>
          <w:sz w:val="18"/>
          <w:szCs w:val="18"/>
        </w:rPr>
        <w:t>= (0.0, -0.435).</w:t>
      </w:r>
      <w:r w:rsidRPr="00A21B37">
        <w:rPr>
          <w:rFonts w:ascii="Palatino Linotype" w:hAnsi="Palatino Linotype"/>
          <w:color w:val="000000"/>
          <w:sz w:val="18"/>
          <w:szCs w:val="18"/>
        </w:rPr>
        <w:t xml:space="preserve"> (</w:t>
      </w:r>
      <w:r w:rsidRPr="00D46DBA">
        <w:rPr>
          <w:rFonts w:ascii="Palatino Linotype" w:hAnsi="Palatino Linotype"/>
          <w:b/>
          <w:bCs/>
          <w:color w:val="000000"/>
          <w:sz w:val="18"/>
          <w:szCs w:val="18"/>
        </w:rPr>
        <w:t>C</w:t>
      </w:r>
      <w:r w:rsidRPr="00A21B37">
        <w:rPr>
          <w:rFonts w:ascii="Palatino Linotype" w:hAnsi="Palatino Linotype"/>
          <w:color w:val="000000"/>
          <w:sz w:val="18"/>
          <w:szCs w:val="18"/>
        </w:rPr>
        <w:t xml:space="preserve">) An OPLS-DA </w:t>
      </w:r>
      <w:r w:rsidRPr="00A21B37">
        <w:rPr>
          <w:rFonts w:ascii="Palatino Linotype" w:hAnsi="Palatino Linotype"/>
          <w:bCs/>
          <w:color w:val="000000"/>
          <w:sz w:val="18"/>
          <w:szCs w:val="18"/>
        </w:rPr>
        <w:t>loadings S-plot</w:t>
      </w:r>
      <w:r w:rsidRPr="00A21B37">
        <w:rPr>
          <w:rFonts w:ascii="Palatino Linotype" w:hAnsi="Palatino Linotype"/>
          <w:color w:val="000000"/>
          <w:sz w:val="18"/>
          <w:szCs w:val="18"/>
        </w:rPr>
        <w:t xml:space="preserve"> for the same model in (A); variables situated in the extreme end of the S-plot are statistically relevant and represent prime candidates as discriminating variables/features. (</w:t>
      </w:r>
      <w:r w:rsidRPr="00D46DBA">
        <w:rPr>
          <w:rFonts w:ascii="Palatino Linotype" w:hAnsi="Palatino Linotype"/>
          <w:b/>
          <w:bCs/>
          <w:color w:val="000000"/>
          <w:sz w:val="18"/>
          <w:szCs w:val="18"/>
        </w:rPr>
        <w:t>D</w:t>
      </w:r>
      <w:r w:rsidRPr="00A21B37">
        <w:rPr>
          <w:rFonts w:ascii="Palatino Linotype" w:hAnsi="Palatino Linotype"/>
          <w:color w:val="000000"/>
          <w:sz w:val="18"/>
          <w:szCs w:val="18"/>
        </w:rPr>
        <w:t xml:space="preserve">) A </w:t>
      </w:r>
      <w:r w:rsidRPr="00A21B37">
        <w:rPr>
          <w:rFonts w:ascii="Palatino Linotype" w:hAnsi="Palatino Linotype"/>
          <w:bCs/>
          <w:color w:val="000000"/>
          <w:sz w:val="18"/>
          <w:szCs w:val="18"/>
        </w:rPr>
        <w:t>variable importance for the projection (VIP) plot</w:t>
      </w:r>
      <w:r w:rsidRPr="00A21B37">
        <w:rPr>
          <w:rFonts w:ascii="Palatino Linotype" w:hAnsi="Palatino Linotype"/>
          <w:color w:val="000000"/>
          <w:sz w:val="18"/>
          <w:szCs w:val="18"/>
        </w:rPr>
        <w:t xml:space="preserve"> for the same model; pointing mathematically to the importance of each variable (feature) in contributing to group separation in the OPLS-DA model. (C,D) Examples of the variables that were significantly up-regulated in primed plants are highlighted in red.</w:t>
      </w:r>
    </w:p>
    <w:p w14:paraId="4625DB46" w14:textId="77777777" w:rsidR="00E91C04" w:rsidRPr="00652C1F" w:rsidRDefault="00E91C04" w:rsidP="00E91C04">
      <w:pPr>
        <w:spacing w:line="260" w:lineRule="atLeast"/>
        <w:ind w:left="425" w:right="425"/>
        <w:jc w:val="both"/>
        <w:rPr>
          <w:rFonts w:ascii="Palatino Linotype" w:hAnsi="Palatino Linotype"/>
          <w:b/>
          <w:color w:val="000000" w:themeColor="text1"/>
          <w:sz w:val="18"/>
          <w:szCs w:val="18"/>
        </w:rPr>
      </w:pPr>
      <w:r w:rsidRPr="00652C1F">
        <w:rPr>
          <w:rFonts w:ascii="Palatino Linotype" w:hAnsi="Palatino Linotype"/>
          <w:b/>
          <w:color w:val="000000" w:themeColor="text1"/>
          <w:sz w:val="18"/>
          <w:szCs w:val="18"/>
        </w:rPr>
        <w:t>Table S1.</w:t>
      </w:r>
      <w:r w:rsidRPr="00652C1F">
        <w:rPr>
          <w:rFonts w:ascii="Palatino Linotype" w:hAnsi="Palatino Linotype"/>
          <w:color w:val="000000" w:themeColor="text1"/>
          <w:sz w:val="18"/>
          <w:szCs w:val="18"/>
        </w:rPr>
        <w:t xml:space="preserve"> </w:t>
      </w:r>
      <w:r w:rsidRPr="00C7582B">
        <w:rPr>
          <w:rFonts w:ascii="Palatino Linotype" w:hAnsi="Palatino Linotype"/>
          <w:color w:val="000000" w:themeColor="text1"/>
          <w:sz w:val="20"/>
          <w:szCs w:val="20"/>
        </w:rPr>
        <w:t xml:space="preserve">Summary of the description and validation of all the generated OPLS-DA models separating naïve </w:t>
      </w:r>
      <w:r w:rsidRPr="00C7582B">
        <w:rPr>
          <w:rFonts w:ascii="Palatino Linotype" w:hAnsi="Palatino Linotype"/>
          <w:i/>
          <w:color w:val="000000" w:themeColor="text1"/>
          <w:sz w:val="20"/>
          <w:szCs w:val="20"/>
        </w:rPr>
        <w:t>versus</w:t>
      </w:r>
      <w:r w:rsidRPr="00C7582B">
        <w:rPr>
          <w:rFonts w:ascii="Palatino Linotype" w:hAnsi="Palatino Linotype"/>
          <w:color w:val="000000" w:themeColor="text1"/>
          <w:sz w:val="20"/>
          <w:szCs w:val="20"/>
        </w:rPr>
        <w:t xml:space="preserve"> primed </w:t>
      </w:r>
      <w:r w:rsidRPr="00C7582B">
        <w:rPr>
          <w:rFonts w:ascii="Palatino Linotype" w:hAnsi="Palatino Linotype"/>
          <w:i/>
          <w:color w:val="000000" w:themeColor="text1"/>
          <w:sz w:val="20"/>
          <w:szCs w:val="20"/>
        </w:rPr>
        <w:t>S. bicolor</w:t>
      </w:r>
      <w:r w:rsidRPr="00C7582B">
        <w:rPr>
          <w:rFonts w:ascii="Palatino Linotype" w:hAnsi="Palatino Linotype"/>
          <w:color w:val="000000" w:themeColor="text1"/>
          <w:sz w:val="20"/>
          <w:szCs w:val="20"/>
        </w:rPr>
        <w:t xml:space="preserve"> plants.</w:t>
      </w:r>
    </w:p>
    <w:tbl>
      <w:tblPr>
        <w:tblW w:w="8720" w:type="dxa"/>
        <w:tblLook w:val="04A0" w:firstRow="1" w:lastRow="0" w:firstColumn="1" w:lastColumn="0" w:noHBand="0" w:noVBand="1"/>
      </w:tblPr>
      <w:tblGrid>
        <w:gridCol w:w="1480"/>
        <w:gridCol w:w="880"/>
        <w:gridCol w:w="635"/>
        <w:gridCol w:w="1300"/>
        <w:gridCol w:w="880"/>
        <w:gridCol w:w="880"/>
        <w:gridCol w:w="880"/>
        <w:gridCol w:w="256"/>
        <w:gridCol w:w="880"/>
        <w:gridCol w:w="880"/>
      </w:tblGrid>
      <w:tr w:rsidR="00060E13" w:rsidRPr="00652C1F" w14:paraId="6395304C" w14:textId="77777777" w:rsidTr="00ED13B7">
        <w:trPr>
          <w:trHeight w:hRule="exact" w:val="57"/>
        </w:trPr>
        <w:tc>
          <w:tcPr>
            <w:tcW w:w="1480" w:type="dxa"/>
            <w:tcBorders>
              <w:top w:val="nil"/>
              <w:left w:val="nil"/>
              <w:bottom w:val="single" w:sz="4" w:space="0" w:color="auto"/>
              <w:right w:val="nil"/>
            </w:tcBorders>
            <w:shd w:val="clear" w:color="auto" w:fill="auto"/>
            <w:noWrap/>
            <w:vAlign w:val="bottom"/>
            <w:hideMark/>
          </w:tcPr>
          <w:p w14:paraId="33E3F5F7" w14:textId="77777777" w:rsidR="00060E13" w:rsidRPr="00652C1F" w:rsidRDefault="00060E13" w:rsidP="00ED13B7">
            <w:pPr>
              <w:rPr>
                <w:rFonts w:ascii="Calibri" w:hAnsi="Calibri"/>
                <w:color w:val="000000"/>
                <w:sz w:val="16"/>
                <w:szCs w:val="16"/>
              </w:rPr>
            </w:pPr>
            <w:r w:rsidRPr="00652C1F">
              <w:rPr>
                <w:rFonts w:ascii="Calibri" w:hAnsi="Calibri"/>
                <w:color w:val="000000"/>
                <w:sz w:val="16"/>
                <w:szCs w:val="16"/>
              </w:rPr>
              <w:t> </w:t>
            </w:r>
          </w:p>
        </w:tc>
        <w:tc>
          <w:tcPr>
            <w:tcW w:w="880" w:type="dxa"/>
            <w:tcBorders>
              <w:top w:val="nil"/>
              <w:left w:val="nil"/>
              <w:bottom w:val="single" w:sz="4" w:space="0" w:color="auto"/>
              <w:right w:val="nil"/>
            </w:tcBorders>
            <w:shd w:val="clear" w:color="auto" w:fill="auto"/>
            <w:noWrap/>
            <w:vAlign w:val="bottom"/>
            <w:hideMark/>
          </w:tcPr>
          <w:p w14:paraId="4B5FC23F" w14:textId="77777777" w:rsidR="00060E13" w:rsidRPr="00652C1F" w:rsidRDefault="00060E13" w:rsidP="00ED13B7">
            <w:pPr>
              <w:rPr>
                <w:rFonts w:ascii="Calibri" w:hAnsi="Calibri"/>
                <w:color w:val="000000"/>
                <w:sz w:val="16"/>
                <w:szCs w:val="16"/>
              </w:rPr>
            </w:pPr>
            <w:r w:rsidRPr="00652C1F">
              <w:rPr>
                <w:rFonts w:ascii="Calibri" w:hAnsi="Calibri"/>
                <w:color w:val="000000"/>
                <w:sz w:val="16"/>
                <w:szCs w:val="16"/>
              </w:rPr>
              <w:t> </w:t>
            </w:r>
          </w:p>
        </w:tc>
        <w:tc>
          <w:tcPr>
            <w:tcW w:w="500" w:type="dxa"/>
            <w:tcBorders>
              <w:top w:val="nil"/>
              <w:left w:val="nil"/>
              <w:bottom w:val="single" w:sz="4" w:space="0" w:color="auto"/>
              <w:right w:val="nil"/>
            </w:tcBorders>
            <w:shd w:val="clear" w:color="auto" w:fill="auto"/>
            <w:noWrap/>
            <w:vAlign w:val="bottom"/>
            <w:hideMark/>
          </w:tcPr>
          <w:p w14:paraId="33ABC999" w14:textId="77777777" w:rsidR="00060E13" w:rsidRPr="00652C1F" w:rsidRDefault="00060E13" w:rsidP="00ED13B7">
            <w:pPr>
              <w:jc w:val="center"/>
              <w:rPr>
                <w:rFonts w:ascii="Calibri" w:hAnsi="Calibri"/>
                <w:color w:val="000000"/>
                <w:sz w:val="16"/>
                <w:szCs w:val="16"/>
              </w:rPr>
            </w:pPr>
            <w:r w:rsidRPr="00652C1F">
              <w:rPr>
                <w:rFonts w:ascii="Calibri" w:hAnsi="Calibri"/>
                <w:color w:val="000000"/>
                <w:sz w:val="16"/>
                <w:szCs w:val="16"/>
              </w:rPr>
              <w:t> </w:t>
            </w:r>
          </w:p>
        </w:tc>
        <w:tc>
          <w:tcPr>
            <w:tcW w:w="1300" w:type="dxa"/>
            <w:tcBorders>
              <w:top w:val="nil"/>
              <w:left w:val="nil"/>
              <w:bottom w:val="single" w:sz="4" w:space="0" w:color="auto"/>
              <w:right w:val="nil"/>
            </w:tcBorders>
            <w:shd w:val="clear" w:color="auto" w:fill="auto"/>
            <w:noWrap/>
            <w:vAlign w:val="bottom"/>
            <w:hideMark/>
          </w:tcPr>
          <w:p w14:paraId="6061BCD6" w14:textId="77777777" w:rsidR="00060E13" w:rsidRPr="00652C1F" w:rsidRDefault="00060E13" w:rsidP="00ED13B7">
            <w:pPr>
              <w:rPr>
                <w:rFonts w:ascii="Calibri" w:hAnsi="Calibri"/>
                <w:color w:val="000000"/>
                <w:sz w:val="16"/>
                <w:szCs w:val="16"/>
              </w:rPr>
            </w:pPr>
          </w:p>
        </w:tc>
        <w:tc>
          <w:tcPr>
            <w:tcW w:w="880" w:type="dxa"/>
            <w:tcBorders>
              <w:top w:val="nil"/>
              <w:left w:val="nil"/>
              <w:bottom w:val="single" w:sz="4" w:space="0" w:color="auto"/>
              <w:right w:val="nil"/>
            </w:tcBorders>
            <w:shd w:val="clear" w:color="auto" w:fill="auto"/>
            <w:noWrap/>
            <w:vAlign w:val="bottom"/>
            <w:hideMark/>
          </w:tcPr>
          <w:p w14:paraId="209637CF" w14:textId="77777777" w:rsidR="00060E13" w:rsidRPr="00652C1F" w:rsidRDefault="00060E13" w:rsidP="00ED13B7">
            <w:pPr>
              <w:rPr>
                <w:rFonts w:ascii="Calibri" w:hAnsi="Calibri"/>
                <w:color w:val="000000"/>
                <w:sz w:val="16"/>
                <w:szCs w:val="16"/>
              </w:rPr>
            </w:pPr>
            <w:r w:rsidRPr="00652C1F">
              <w:rPr>
                <w:rFonts w:ascii="Calibri" w:hAnsi="Calibri"/>
                <w:color w:val="000000"/>
                <w:sz w:val="16"/>
                <w:szCs w:val="16"/>
              </w:rPr>
              <w:t> </w:t>
            </w:r>
          </w:p>
        </w:tc>
        <w:tc>
          <w:tcPr>
            <w:tcW w:w="880" w:type="dxa"/>
            <w:tcBorders>
              <w:top w:val="nil"/>
              <w:left w:val="nil"/>
              <w:bottom w:val="single" w:sz="4" w:space="0" w:color="auto"/>
              <w:right w:val="nil"/>
            </w:tcBorders>
            <w:shd w:val="clear" w:color="auto" w:fill="auto"/>
            <w:noWrap/>
            <w:vAlign w:val="bottom"/>
            <w:hideMark/>
          </w:tcPr>
          <w:p w14:paraId="3DE7C06A" w14:textId="77777777" w:rsidR="00060E13" w:rsidRPr="00652C1F" w:rsidRDefault="00060E13" w:rsidP="00ED13B7">
            <w:pPr>
              <w:rPr>
                <w:rFonts w:ascii="Calibri" w:hAnsi="Calibri"/>
                <w:color w:val="000000"/>
                <w:sz w:val="16"/>
                <w:szCs w:val="16"/>
              </w:rPr>
            </w:pPr>
            <w:r w:rsidRPr="00652C1F">
              <w:rPr>
                <w:rFonts w:ascii="Calibri" w:hAnsi="Calibri"/>
                <w:color w:val="000000"/>
                <w:sz w:val="16"/>
                <w:szCs w:val="16"/>
              </w:rPr>
              <w:t> </w:t>
            </w:r>
          </w:p>
        </w:tc>
        <w:tc>
          <w:tcPr>
            <w:tcW w:w="880" w:type="dxa"/>
            <w:tcBorders>
              <w:top w:val="nil"/>
              <w:left w:val="nil"/>
              <w:bottom w:val="single" w:sz="4" w:space="0" w:color="auto"/>
              <w:right w:val="nil"/>
            </w:tcBorders>
            <w:shd w:val="clear" w:color="auto" w:fill="auto"/>
            <w:noWrap/>
            <w:vAlign w:val="bottom"/>
            <w:hideMark/>
          </w:tcPr>
          <w:p w14:paraId="7ECD6F88" w14:textId="77777777" w:rsidR="00060E13" w:rsidRPr="00652C1F" w:rsidRDefault="00060E13" w:rsidP="00ED13B7">
            <w:pPr>
              <w:rPr>
                <w:rFonts w:ascii="Calibri" w:hAnsi="Calibri"/>
                <w:color w:val="000000"/>
                <w:sz w:val="16"/>
                <w:szCs w:val="16"/>
              </w:rPr>
            </w:pPr>
            <w:r w:rsidRPr="00652C1F">
              <w:rPr>
                <w:rFonts w:ascii="Calibri" w:hAnsi="Calibri"/>
                <w:color w:val="000000"/>
                <w:sz w:val="16"/>
                <w:szCs w:val="16"/>
              </w:rPr>
              <w:t> </w:t>
            </w:r>
          </w:p>
        </w:tc>
        <w:tc>
          <w:tcPr>
            <w:tcW w:w="160" w:type="dxa"/>
            <w:tcBorders>
              <w:top w:val="nil"/>
              <w:left w:val="nil"/>
              <w:bottom w:val="single" w:sz="4" w:space="0" w:color="auto"/>
              <w:right w:val="nil"/>
            </w:tcBorders>
            <w:shd w:val="clear" w:color="auto" w:fill="auto"/>
            <w:noWrap/>
            <w:vAlign w:val="bottom"/>
            <w:hideMark/>
          </w:tcPr>
          <w:p w14:paraId="2A3CAA1F" w14:textId="77777777" w:rsidR="00060E13" w:rsidRPr="00652C1F" w:rsidRDefault="00060E13" w:rsidP="00ED13B7">
            <w:pPr>
              <w:rPr>
                <w:rFonts w:ascii="Calibri" w:hAnsi="Calibri"/>
                <w:color w:val="000000"/>
                <w:sz w:val="16"/>
                <w:szCs w:val="16"/>
              </w:rPr>
            </w:pPr>
            <w:r w:rsidRPr="00652C1F">
              <w:rPr>
                <w:rFonts w:ascii="Calibri" w:hAnsi="Calibri"/>
                <w:color w:val="000000"/>
                <w:sz w:val="16"/>
                <w:szCs w:val="16"/>
              </w:rPr>
              <w:t> </w:t>
            </w:r>
          </w:p>
        </w:tc>
        <w:tc>
          <w:tcPr>
            <w:tcW w:w="880" w:type="dxa"/>
            <w:tcBorders>
              <w:top w:val="nil"/>
              <w:left w:val="nil"/>
              <w:bottom w:val="single" w:sz="4" w:space="0" w:color="auto"/>
              <w:right w:val="nil"/>
            </w:tcBorders>
            <w:shd w:val="clear" w:color="auto" w:fill="auto"/>
            <w:noWrap/>
            <w:vAlign w:val="bottom"/>
            <w:hideMark/>
          </w:tcPr>
          <w:p w14:paraId="74572885" w14:textId="77777777" w:rsidR="00060E13" w:rsidRPr="00652C1F" w:rsidRDefault="00060E13" w:rsidP="00ED13B7">
            <w:pPr>
              <w:rPr>
                <w:rFonts w:ascii="Calibri" w:hAnsi="Calibri"/>
                <w:color w:val="000000"/>
                <w:sz w:val="16"/>
                <w:szCs w:val="16"/>
              </w:rPr>
            </w:pPr>
            <w:r w:rsidRPr="00652C1F">
              <w:rPr>
                <w:rFonts w:ascii="Calibri" w:hAnsi="Calibri"/>
                <w:color w:val="000000"/>
                <w:sz w:val="16"/>
                <w:szCs w:val="16"/>
              </w:rPr>
              <w:t> </w:t>
            </w:r>
          </w:p>
        </w:tc>
        <w:tc>
          <w:tcPr>
            <w:tcW w:w="880" w:type="dxa"/>
            <w:tcBorders>
              <w:top w:val="nil"/>
              <w:left w:val="nil"/>
              <w:bottom w:val="single" w:sz="4" w:space="0" w:color="auto"/>
              <w:right w:val="nil"/>
            </w:tcBorders>
            <w:shd w:val="clear" w:color="auto" w:fill="auto"/>
            <w:noWrap/>
            <w:vAlign w:val="bottom"/>
            <w:hideMark/>
          </w:tcPr>
          <w:p w14:paraId="4EBA7E89" w14:textId="77777777" w:rsidR="00060E13" w:rsidRPr="00652C1F" w:rsidRDefault="00060E13" w:rsidP="00ED13B7">
            <w:pPr>
              <w:rPr>
                <w:rFonts w:ascii="Calibri" w:hAnsi="Calibri"/>
                <w:color w:val="000000"/>
                <w:sz w:val="16"/>
                <w:szCs w:val="16"/>
              </w:rPr>
            </w:pPr>
            <w:r w:rsidRPr="00652C1F">
              <w:rPr>
                <w:rFonts w:ascii="Calibri" w:hAnsi="Calibri"/>
                <w:color w:val="000000"/>
                <w:sz w:val="16"/>
                <w:szCs w:val="16"/>
              </w:rPr>
              <w:t> </w:t>
            </w:r>
          </w:p>
        </w:tc>
      </w:tr>
      <w:tr w:rsidR="00060E13" w:rsidRPr="00652C1F" w14:paraId="6020C3A6" w14:textId="77777777" w:rsidTr="00ED13B7">
        <w:trPr>
          <w:trHeight w:val="220"/>
        </w:trPr>
        <w:tc>
          <w:tcPr>
            <w:tcW w:w="1480" w:type="dxa"/>
            <w:tcBorders>
              <w:top w:val="nil"/>
              <w:left w:val="nil"/>
              <w:bottom w:val="nil"/>
              <w:right w:val="nil"/>
            </w:tcBorders>
            <w:shd w:val="clear" w:color="auto" w:fill="auto"/>
            <w:noWrap/>
            <w:vAlign w:val="bottom"/>
            <w:hideMark/>
          </w:tcPr>
          <w:p w14:paraId="6D6ACE57" w14:textId="77777777" w:rsidR="00060E13" w:rsidRPr="00652C1F" w:rsidRDefault="00060E13" w:rsidP="00ED13B7">
            <w:pPr>
              <w:rPr>
                <w:rFonts w:ascii="Calibri" w:hAnsi="Calibri"/>
                <w:color w:val="000000"/>
                <w:sz w:val="16"/>
                <w:szCs w:val="16"/>
              </w:rPr>
            </w:pPr>
          </w:p>
        </w:tc>
        <w:tc>
          <w:tcPr>
            <w:tcW w:w="880" w:type="dxa"/>
            <w:tcBorders>
              <w:top w:val="nil"/>
              <w:left w:val="nil"/>
              <w:bottom w:val="nil"/>
              <w:right w:val="nil"/>
            </w:tcBorders>
            <w:shd w:val="clear" w:color="auto" w:fill="auto"/>
            <w:noWrap/>
            <w:vAlign w:val="bottom"/>
            <w:hideMark/>
          </w:tcPr>
          <w:p w14:paraId="357ACDAD" w14:textId="77777777" w:rsidR="00060E13" w:rsidRPr="00652C1F" w:rsidRDefault="00060E13" w:rsidP="00ED13B7">
            <w:pPr>
              <w:rPr>
                <w:sz w:val="20"/>
                <w:szCs w:val="20"/>
              </w:rPr>
            </w:pPr>
          </w:p>
        </w:tc>
        <w:tc>
          <w:tcPr>
            <w:tcW w:w="500" w:type="dxa"/>
            <w:tcBorders>
              <w:top w:val="nil"/>
              <w:left w:val="nil"/>
              <w:bottom w:val="nil"/>
              <w:right w:val="nil"/>
            </w:tcBorders>
            <w:shd w:val="clear" w:color="auto" w:fill="auto"/>
            <w:noWrap/>
            <w:vAlign w:val="bottom"/>
            <w:hideMark/>
          </w:tcPr>
          <w:p w14:paraId="4331393E" w14:textId="77777777" w:rsidR="00060E13" w:rsidRPr="00652C1F" w:rsidRDefault="00060E13" w:rsidP="00ED13B7">
            <w:pPr>
              <w:rPr>
                <w:sz w:val="20"/>
                <w:szCs w:val="20"/>
              </w:rPr>
            </w:pPr>
          </w:p>
        </w:tc>
        <w:tc>
          <w:tcPr>
            <w:tcW w:w="3940" w:type="dxa"/>
            <w:gridSpan w:val="4"/>
            <w:tcBorders>
              <w:top w:val="nil"/>
              <w:left w:val="nil"/>
              <w:bottom w:val="single" w:sz="4" w:space="0" w:color="auto"/>
              <w:right w:val="nil"/>
            </w:tcBorders>
            <w:shd w:val="clear" w:color="auto" w:fill="auto"/>
            <w:noWrap/>
            <w:vAlign w:val="bottom"/>
            <w:hideMark/>
          </w:tcPr>
          <w:p w14:paraId="526DDFBB" w14:textId="77777777" w:rsidR="00060E13" w:rsidRPr="00652C1F" w:rsidRDefault="00060E13" w:rsidP="00ED13B7">
            <w:pPr>
              <w:jc w:val="center"/>
              <w:rPr>
                <w:rFonts w:ascii="Palatino Linotype" w:hAnsi="Palatino Linotype"/>
                <w:b/>
                <w:bCs/>
                <w:color w:val="000000"/>
                <w:sz w:val="16"/>
                <w:szCs w:val="16"/>
              </w:rPr>
            </w:pPr>
            <w:r w:rsidRPr="00652C1F">
              <w:rPr>
                <w:rFonts w:ascii="Palatino Linotype" w:hAnsi="Palatino Linotype"/>
                <w:b/>
                <w:bCs/>
                <w:color w:val="000000"/>
                <w:sz w:val="16"/>
                <w:szCs w:val="16"/>
              </w:rPr>
              <w:t>P</w:t>
            </w:r>
            <w:r>
              <w:rPr>
                <w:rFonts w:ascii="Palatino Linotype" w:hAnsi="Palatino Linotype"/>
                <w:b/>
                <w:bCs/>
                <w:color w:val="000000"/>
                <w:sz w:val="16"/>
                <w:szCs w:val="16"/>
              </w:rPr>
              <w:t xml:space="preserve">rinciple </w:t>
            </w:r>
            <w:r w:rsidRPr="00652C1F">
              <w:rPr>
                <w:rFonts w:ascii="Palatino Linotype" w:hAnsi="Palatino Linotype"/>
                <w:b/>
                <w:bCs/>
                <w:color w:val="000000"/>
                <w:sz w:val="16"/>
                <w:szCs w:val="16"/>
              </w:rPr>
              <w:t>C</w:t>
            </w:r>
            <w:r>
              <w:rPr>
                <w:rFonts w:ascii="Palatino Linotype" w:hAnsi="Palatino Linotype"/>
                <w:b/>
                <w:bCs/>
                <w:color w:val="000000"/>
                <w:sz w:val="16"/>
                <w:szCs w:val="16"/>
              </w:rPr>
              <w:t xml:space="preserve">omponent </w:t>
            </w:r>
            <w:r w:rsidRPr="00652C1F">
              <w:rPr>
                <w:rFonts w:ascii="Palatino Linotype" w:hAnsi="Palatino Linotype"/>
                <w:b/>
                <w:bCs/>
                <w:color w:val="000000"/>
                <w:sz w:val="16"/>
                <w:szCs w:val="16"/>
              </w:rPr>
              <w:t>A</w:t>
            </w:r>
            <w:r>
              <w:rPr>
                <w:rFonts w:ascii="Palatino Linotype" w:hAnsi="Palatino Linotype"/>
                <w:b/>
                <w:bCs/>
                <w:color w:val="000000"/>
                <w:sz w:val="16"/>
                <w:szCs w:val="16"/>
              </w:rPr>
              <w:t>nalysis</w:t>
            </w:r>
          </w:p>
        </w:tc>
        <w:tc>
          <w:tcPr>
            <w:tcW w:w="160" w:type="dxa"/>
            <w:tcBorders>
              <w:top w:val="nil"/>
              <w:left w:val="nil"/>
              <w:bottom w:val="nil"/>
              <w:right w:val="nil"/>
            </w:tcBorders>
            <w:shd w:val="clear" w:color="auto" w:fill="auto"/>
            <w:noWrap/>
            <w:vAlign w:val="bottom"/>
            <w:hideMark/>
          </w:tcPr>
          <w:p w14:paraId="5C2CEB77" w14:textId="77777777" w:rsidR="00060E13" w:rsidRPr="00652C1F" w:rsidRDefault="00060E13" w:rsidP="00ED13B7">
            <w:pPr>
              <w:jc w:val="center"/>
              <w:rPr>
                <w:rFonts w:ascii="Palatino Linotype" w:hAnsi="Palatino Linotype"/>
                <w:b/>
                <w:bCs/>
                <w:color w:val="000000"/>
                <w:sz w:val="16"/>
                <w:szCs w:val="16"/>
              </w:rPr>
            </w:pPr>
          </w:p>
        </w:tc>
        <w:tc>
          <w:tcPr>
            <w:tcW w:w="1760" w:type="dxa"/>
            <w:gridSpan w:val="2"/>
            <w:tcBorders>
              <w:top w:val="single" w:sz="4" w:space="0" w:color="auto"/>
              <w:left w:val="nil"/>
              <w:bottom w:val="single" w:sz="4" w:space="0" w:color="auto"/>
              <w:right w:val="nil"/>
            </w:tcBorders>
            <w:shd w:val="clear" w:color="auto" w:fill="auto"/>
            <w:noWrap/>
            <w:vAlign w:val="bottom"/>
            <w:hideMark/>
          </w:tcPr>
          <w:p w14:paraId="4252089A" w14:textId="77777777" w:rsidR="00060E13" w:rsidRPr="00652C1F" w:rsidRDefault="00060E13" w:rsidP="00ED13B7">
            <w:pPr>
              <w:jc w:val="center"/>
              <w:rPr>
                <w:rFonts w:ascii="Palatino Linotype" w:hAnsi="Palatino Linotype"/>
                <w:b/>
                <w:bCs/>
                <w:color w:val="000000"/>
                <w:sz w:val="16"/>
                <w:szCs w:val="16"/>
              </w:rPr>
            </w:pPr>
            <w:r w:rsidRPr="00652C1F">
              <w:rPr>
                <w:rFonts w:ascii="Palatino Linotype" w:hAnsi="Palatino Linotype"/>
                <w:b/>
                <w:bCs/>
                <w:color w:val="000000"/>
                <w:sz w:val="16"/>
                <w:szCs w:val="16"/>
              </w:rPr>
              <w:t>Response permutation</w:t>
            </w:r>
            <w:r>
              <w:rPr>
                <w:rFonts w:ascii="Palatino Linotype" w:hAnsi="Palatino Linotype"/>
                <w:bCs/>
                <w:color w:val="000000"/>
                <w:sz w:val="16"/>
                <w:szCs w:val="16"/>
                <w:vertAlign w:val="superscript"/>
              </w:rPr>
              <w:t>b</w:t>
            </w:r>
          </w:p>
        </w:tc>
      </w:tr>
      <w:tr w:rsidR="00060E13" w:rsidRPr="00652C1F" w14:paraId="2BEBFBE8" w14:textId="77777777" w:rsidTr="00ED13B7">
        <w:trPr>
          <w:trHeight w:val="220"/>
        </w:trPr>
        <w:tc>
          <w:tcPr>
            <w:tcW w:w="1480" w:type="dxa"/>
            <w:tcBorders>
              <w:top w:val="nil"/>
              <w:left w:val="nil"/>
              <w:bottom w:val="single" w:sz="4" w:space="0" w:color="auto"/>
              <w:right w:val="nil"/>
            </w:tcBorders>
            <w:shd w:val="clear" w:color="auto" w:fill="auto"/>
            <w:noWrap/>
            <w:vAlign w:val="bottom"/>
            <w:hideMark/>
          </w:tcPr>
          <w:p w14:paraId="63FEB0FD" w14:textId="77777777" w:rsidR="00060E13" w:rsidRPr="00652C1F" w:rsidRDefault="00060E13" w:rsidP="00ED13B7">
            <w:pPr>
              <w:rPr>
                <w:rFonts w:ascii="Palatino Linotype" w:hAnsi="Palatino Linotype"/>
                <w:b/>
                <w:bCs/>
                <w:color w:val="000000"/>
                <w:sz w:val="16"/>
                <w:szCs w:val="16"/>
              </w:rPr>
            </w:pPr>
            <w:r w:rsidRPr="00652C1F">
              <w:rPr>
                <w:rFonts w:ascii="Palatino Linotype" w:hAnsi="Palatino Linotype"/>
                <w:b/>
                <w:bCs/>
                <w:color w:val="000000"/>
                <w:sz w:val="16"/>
                <w:szCs w:val="16"/>
              </w:rPr>
              <w:t>Ionisation mode</w:t>
            </w:r>
          </w:p>
        </w:tc>
        <w:tc>
          <w:tcPr>
            <w:tcW w:w="880" w:type="dxa"/>
            <w:tcBorders>
              <w:top w:val="nil"/>
              <w:left w:val="nil"/>
              <w:bottom w:val="single" w:sz="4" w:space="0" w:color="auto"/>
              <w:right w:val="nil"/>
            </w:tcBorders>
            <w:shd w:val="clear" w:color="auto" w:fill="auto"/>
            <w:noWrap/>
            <w:vAlign w:val="bottom"/>
            <w:hideMark/>
          </w:tcPr>
          <w:p w14:paraId="3CD8B326" w14:textId="77777777" w:rsidR="00060E13" w:rsidRPr="00652C1F" w:rsidRDefault="00060E13" w:rsidP="00ED13B7">
            <w:pPr>
              <w:rPr>
                <w:rFonts w:ascii="Palatino Linotype" w:hAnsi="Palatino Linotype"/>
                <w:b/>
                <w:bCs/>
                <w:color w:val="000000"/>
                <w:sz w:val="16"/>
                <w:szCs w:val="16"/>
              </w:rPr>
            </w:pPr>
            <w:r w:rsidRPr="00652C1F">
              <w:rPr>
                <w:rFonts w:ascii="Palatino Linotype" w:hAnsi="Palatino Linotype"/>
                <w:b/>
                <w:bCs/>
                <w:color w:val="000000"/>
                <w:sz w:val="16"/>
                <w:szCs w:val="16"/>
              </w:rPr>
              <w:t>Tissue</w:t>
            </w:r>
          </w:p>
        </w:tc>
        <w:tc>
          <w:tcPr>
            <w:tcW w:w="500" w:type="dxa"/>
            <w:tcBorders>
              <w:top w:val="nil"/>
              <w:left w:val="nil"/>
              <w:bottom w:val="single" w:sz="4" w:space="0" w:color="auto"/>
              <w:right w:val="nil"/>
            </w:tcBorders>
            <w:shd w:val="clear" w:color="auto" w:fill="auto"/>
            <w:noWrap/>
            <w:vAlign w:val="bottom"/>
            <w:hideMark/>
          </w:tcPr>
          <w:p w14:paraId="605D9F74" w14:textId="77777777" w:rsidR="00060E13" w:rsidRPr="00652C1F" w:rsidRDefault="00060E13" w:rsidP="00ED13B7">
            <w:pPr>
              <w:jc w:val="center"/>
              <w:rPr>
                <w:rFonts w:ascii="Palatino Linotype" w:hAnsi="Palatino Linotype"/>
                <w:b/>
                <w:bCs/>
                <w:color w:val="000000"/>
                <w:sz w:val="16"/>
                <w:szCs w:val="16"/>
              </w:rPr>
            </w:pPr>
            <w:r w:rsidRPr="00652C1F">
              <w:rPr>
                <w:rFonts w:ascii="Palatino Linotype" w:hAnsi="Palatino Linotype"/>
                <w:b/>
                <w:bCs/>
                <w:color w:val="000000"/>
                <w:sz w:val="16"/>
                <w:szCs w:val="16"/>
              </w:rPr>
              <w:t>d.p.i.</w:t>
            </w:r>
            <w:r w:rsidRPr="000A6154">
              <w:rPr>
                <w:rFonts w:ascii="Palatino Linotype" w:hAnsi="Palatino Linotype"/>
                <w:bCs/>
                <w:color w:val="000000"/>
                <w:sz w:val="16"/>
                <w:szCs w:val="16"/>
                <w:vertAlign w:val="superscript"/>
              </w:rPr>
              <w:t>a</w:t>
            </w:r>
          </w:p>
        </w:tc>
        <w:tc>
          <w:tcPr>
            <w:tcW w:w="1300" w:type="dxa"/>
            <w:tcBorders>
              <w:top w:val="nil"/>
              <w:left w:val="nil"/>
              <w:bottom w:val="single" w:sz="4" w:space="0" w:color="auto"/>
              <w:right w:val="nil"/>
            </w:tcBorders>
            <w:shd w:val="clear" w:color="auto" w:fill="auto"/>
            <w:noWrap/>
            <w:vAlign w:val="bottom"/>
            <w:hideMark/>
          </w:tcPr>
          <w:p w14:paraId="02BB1F81" w14:textId="77777777" w:rsidR="00060E13" w:rsidRPr="00652C1F" w:rsidRDefault="00060E13" w:rsidP="00ED13B7">
            <w:pPr>
              <w:jc w:val="center"/>
              <w:rPr>
                <w:rFonts w:ascii="Palatino Linotype" w:hAnsi="Palatino Linotype"/>
                <w:b/>
                <w:bCs/>
                <w:color w:val="000000"/>
                <w:sz w:val="16"/>
                <w:szCs w:val="16"/>
              </w:rPr>
            </w:pPr>
            <w:r w:rsidRPr="00652C1F">
              <w:rPr>
                <w:rFonts w:ascii="Palatino Linotype" w:hAnsi="Palatino Linotype"/>
                <w:b/>
                <w:bCs/>
                <w:color w:val="000000"/>
                <w:sz w:val="16"/>
                <w:szCs w:val="16"/>
              </w:rPr>
              <w:t>Components</w:t>
            </w:r>
          </w:p>
        </w:tc>
        <w:tc>
          <w:tcPr>
            <w:tcW w:w="880" w:type="dxa"/>
            <w:tcBorders>
              <w:top w:val="nil"/>
              <w:left w:val="nil"/>
              <w:bottom w:val="single" w:sz="4" w:space="0" w:color="auto"/>
              <w:right w:val="nil"/>
            </w:tcBorders>
            <w:shd w:val="clear" w:color="auto" w:fill="auto"/>
            <w:noWrap/>
            <w:vAlign w:val="bottom"/>
            <w:hideMark/>
          </w:tcPr>
          <w:p w14:paraId="5FB43CBA" w14:textId="77777777" w:rsidR="00060E13" w:rsidRPr="00652C1F" w:rsidRDefault="00060E13" w:rsidP="00ED13B7">
            <w:pPr>
              <w:jc w:val="center"/>
              <w:rPr>
                <w:rFonts w:ascii="Palatino Linotype" w:hAnsi="Palatino Linotype"/>
                <w:b/>
                <w:bCs/>
                <w:color w:val="000000"/>
                <w:sz w:val="16"/>
                <w:szCs w:val="16"/>
              </w:rPr>
            </w:pPr>
            <w:r w:rsidRPr="00652C1F">
              <w:rPr>
                <w:rFonts w:ascii="Palatino Linotype" w:hAnsi="Palatino Linotype"/>
                <w:b/>
                <w:bCs/>
                <w:color w:val="000000"/>
                <w:sz w:val="16"/>
                <w:szCs w:val="16"/>
              </w:rPr>
              <w:t>R</w:t>
            </w:r>
            <w:r w:rsidRPr="00652C1F">
              <w:rPr>
                <w:rFonts w:ascii="Palatino Linotype" w:hAnsi="Palatino Linotype"/>
                <w:b/>
                <w:bCs/>
                <w:color w:val="000000"/>
                <w:sz w:val="16"/>
                <w:szCs w:val="16"/>
                <w:vertAlign w:val="superscript"/>
              </w:rPr>
              <w:t>2</w:t>
            </w:r>
            <w:r w:rsidRPr="00652C1F">
              <w:rPr>
                <w:rFonts w:ascii="Palatino Linotype" w:hAnsi="Palatino Linotype"/>
                <w:b/>
                <w:bCs/>
                <w:color w:val="000000"/>
                <w:sz w:val="16"/>
                <w:szCs w:val="16"/>
              </w:rPr>
              <w:t>X</w:t>
            </w:r>
          </w:p>
        </w:tc>
        <w:tc>
          <w:tcPr>
            <w:tcW w:w="880" w:type="dxa"/>
            <w:tcBorders>
              <w:top w:val="nil"/>
              <w:left w:val="nil"/>
              <w:bottom w:val="single" w:sz="4" w:space="0" w:color="auto"/>
              <w:right w:val="nil"/>
            </w:tcBorders>
            <w:shd w:val="clear" w:color="auto" w:fill="auto"/>
            <w:noWrap/>
            <w:vAlign w:val="bottom"/>
            <w:hideMark/>
          </w:tcPr>
          <w:p w14:paraId="208A9380" w14:textId="77777777" w:rsidR="00060E13" w:rsidRPr="00652C1F" w:rsidRDefault="00060E13" w:rsidP="00ED13B7">
            <w:pPr>
              <w:jc w:val="center"/>
              <w:rPr>
                <w:rFonts w:ascii="Palatino Linotype" w:hAnsi="Palatino Linotype"/>
                <w:b/>
                <w:bCs/>
                <w:color w:val="000000"/>
                <w:sz w:val="16"/>
                <w:szCs w:val="16"/>
              </w:rPr>
            </w:pPr>
            <w:r w:rsidRPr="00652C1F">
              <w:rPr>
                <w:rFonts w:ascii="Palatino Linotype" w:hAnsi="Palatino Linotype"/>
                <w:b/>
                <w:bCs/>
                <w:color w:val="000000"/>
                <w:sz w:val="16"/>
                <w:szCs w:val="16"/>
              </w:rPr>
              <w:t>Q</w:t>
            </w:r>
            <w:r w:rsidRPr="00652C1F">
              <w:rPr>
                <w:rFonts w:ascii="Palatino Linotype" w:hAnsi="Palatino Linotype"/>
                <w:b/>
                <w:bCs/>
                <w:color w:val="000000"/>
                <w:sz w:val="16"/>
                <w:szCs w:val="16"/>
                <w:vertAlign w:val="superscript"/>
              </w:rPr>
              <w:t>2</w:t>
            </w:r>
          </w:p>
        </w:tc>
        <w:tc>
          <w:tcPr>
            <w:tcW w:w="880" w:type="dxa"/>
            <w:tcBorders>
              <w:top w:val="nil"/>
              <w:left w:val="nil"/>
              <w:bottom w:val="single" w:sz="4" w:space="0" w:color="auto"/>
              <w:right w:val="nil"/>
            </w:tcBorders>
            <w:shd w:val="clear" w:color="auto" w:fill="auto"/>
            <w:noWrap/>
            <w:vAlign w:val="bottom"/>
            <w:hideMark/>
          </w:tcPr>
          <w:p w14:paraId="7F495D81" w14:textId="77777777" w:rsidR="00060E13" w:rsidRPr="00652C1F" w:rsidRDefault="00060E13" w:rsidP="00ED13B7">
            <w:pPr>
              <w:jc w:val="center"/>
              <w:rPr>
                <w:rFonts w:ascii="Palatino Linotype" w:hAnsi="Palatino Linotype"/>
                <w:b/>
                <w:bCs/>
                <w:color w:val="000000"/>
                <w:sz w:val="16"/>
                <w:szCs w:val="16"/>
              </w:rPr>
            </w:pPr>
            <w:r w:rsidRPr="00652C1F">
              <w:rPr>
                <w:rFonts w:ascii="Palatino Linotype" w:hAnsi="Palatino Linotype"/>
                <w:b/>
                <w:bCs/>
                <w:i/>
                <w:color w:val="000000"/>
                <w:sz w:val="16"/>
                <w:szCs w:val="16"/>
              </w:rPr>
              <w:t>p</w:t>
            </w:r>
            <w:r>
              <w:rPr>
                <w:rFonts w:ascii="Palatino Linotype" w:hAnsi="Palatino Linotype"/>
                <w:b/>
                <w:bCs/>
                <w:color w:val="000000"/>
                <w:sz w:val="16"/>
                <w:szCs w:val="16"/>
              </w:rPr>
              <w:t>-</w:t>
            </w:r>
            <w:r w:rsidRPr="00652C1F">
              <w:rPr>
                <w:rFonts w:ascii="Palatino Linotype" w:hAnsi="Palatino Linotype"/>
                <w:b/>
                <w:bCs/>
                <w:color w:val="000000"/>
                <w:sz w:val="16"/>
                <w:szCs w:val="16"/>
              </w:rPr>
              <w:t>value</w:t>
            </w:r>
          </w:p>
        </w:tc>
        <w:tc>
          <w:tcPr>
            <w:tcW w:w="160" w:type="dxa"/>
            <w:tcBorders>
              <w:top w:val="nil"/>
              <w:left w:val="nil"/>
              <w:bottom w:val="single" w:sz="4" w:space="0" w:color="auto"/>
              <w:right w:val="nil"/>
            </w:tcBorders>
            <w:shd w:val="clear" w:color="auto" w:fill="auto"/>
            <w:noWrap/>
            <w:vAlign w:val="bottom"/>
            <w:hideMark/>
          </w:tcPr>
          <w:p w14:paraId="3C950D0F" w14:textId="77777777" w:rsidR="00060E13" w:rsidRPr="00652C1F" w:rsidRDefault="00060E13" w:rsidP="00ED13B7">
            <w:pPr>
              <w:jc w:val="center"/>
              <w:rPr>
                <w:rFonts w:ascii="Palatino Linotype" w:hAnsi="Palatino Linotype"/>
                <w:b/>
                <w:bCs/>
                <w:color w:val="000000"/>
                <w:sz w:val="16"/>
                <w:szCs w:val="16"/>
              </w:rPr>
            </w:pPr>
            <w:r w:rsidRPr="00652C1F">
              <w:rPr>
                <w:rFonts w:ascii="Palatino Linotype" w:hAnsi="Palatino Linotype"/>
                <w:b/>
                <w:bCs/>
                <w:color w:val="000000"/>
                <w:sz w:val="16"/>
                <w:szCs w:val="16"/>
              </w:rPr>
              <w:t> </w:t>
            </w:r>
          </w:p>
        </w:tc>
        <w:tc>
          <w:tcPr>
            <w:tcW w:w="880" w:type="dxa"/>
            <w:tcBorders>
              <w:top w:val="nil"/>
              <w:left w:val="nil"/>
              <w:bottom w:val="single" w:sz="4" w:space="0" w:color="auto"/>
              <w:right w:val="nil"/>
            </w:tcBorders>
            <w:shd w:val="clear" w:color="auto" w:fill="auto"/>
            <w:noWrap/>
            <w:vAlign w:val="bottom"/>
            <w:hideMark/>
          </w:tcPr>
          <w:p w14:paraId="3D22C135" w14:textId="77777777" w:rsidR="00060E13" w:rsidRPr="00652C1F" w:rsidRDefault="00060E13" w:rsidP="00ED13B7">
            <w:pPr>
              <w:jc w:val="center"/>
              <w:rPr>
                <w:rFonts w:ascii="Palatino Linotype" w:hAnsi="Palatino Linotype"/>
                <w:b/>
                <w:bCs/>
                <w:color w:val="000000"/>
                <w:sz w:val="16"/>
                <w:szCs w:val="16"/>
              </w:rPr>
            </w:pPr>
            <w:r w:rsidRPr="00652C1F">
              <w:rPr>
                <w:rFonts w:ascii="Palatino Linotype" w:hAnsi="Palatino Linotype"/>
                <w:b/>
                <w:bCs/>
                <w:color w:val="000000"/>
                <w:sz w:val="16"/>
                <w:szCs w:val="16"/>
              </w:rPr>
              <w:t>R</w:t>
            </w:r>
            <w:r w:rsidRPr="00652C1F">
              <w:rPr>
                <w:rFonts w:ascii="Palatino Linotype" w:hAnsi="Palatino Linotype"/>
                <w:b/>
                <w:bCs/>
                <w:color w:val="000000"/>
                <w:sz w:val="16"/>
                <w:szCs w:val="16"/>
                <w:vertAlign w:val="superscript"/>
              </w:rPr>
              <w:t>2</w:t>
            </w:r>
            <w:r w:rsidRPr="00652C1F">
              <w:rPr>
                <w:rFonts w:ascii="Palatino Linotype" w:hAnsi="Palatino Linotype"/>
                <w:b/>
                <w:bCs/>
                <w:color w:val="000000"/>
                <w:sz w:val="16"/>
                <w:szCs w:val="16"/>
              </w:rPr>
              <w:t xml:space="preserve"> </w:t>
            </w:r>
          </w:p>
        </w:tc>
        <w:tc>
          <w:tcPr>
            <w:tcW w:w="880" w:type="dxa"/>
            <w:tcBorders>
              <w:top w:val="nil"/>
              <w:left w:val="nil"/>
              <w:bottom w:val="single" w:sz="4" w:space="0" w:color="auto"/>
              <w:right w:val="nil"/>
            </w:tcBorders>
            <w:shd w:val="clear" w:color="auto" w:fill="auto"/>
            <w:noWrap/>
            <w:vAlign w:val="bottom"/>
            <w:hideMark/>
          </w:tcPr>
          <w:p w14:paraId="795AD00A" w14:textId="77777777" w:rsidR="00060E13" w:rsidRPr="00652C1F" w:rsidRDefault="00060E13" w:rsidP="00ED13B7">
            <w:pPr>
              <w:jc w:val="center"/>
              <w:rPr>
                <w:rFonts w:ascii="Palatino Linotype" w:hAnsi="Palatino Linotype"/>
                <w:b/>
                <w:bCs/>
                <w:color w:val="000000"/>
                <w:sz w:val="16"/>
                <w:szCs w:val="16"/>
              </w:rPr>
            </w:pPr>
            <w:r w:rsidRPr="00652C1F">
              <w:rPr>
                <w:rFonts w:ascii="Palatino Linotype" w:hAnsi="Palatino Linotype"/>
                <w:b/>
                <w:bCs/>
                <w:color w:val="000000"/>
                <w:sz w:val="16"/>
                <w:szCs w:val="16"/>
              </w:rPr>
              <w:t>Q</w:t>
            </w:r>
            <w:r w:rsidRPr="00652C1F">
              <w:rPr>
                <w:rFonts w:ascii="Palatino Linotype" w:hAnsi="Palatino Linotype"/>
                <w:b/>
                <w:bCs/>
                <w:color w:val="000000"/>
                <w:sz w:val="16"/>
                <w:szCs w:val="16"/>
                <w:vertAlign w:val="superscript"/>
              </w:rPr>
              <w:t>2</w:t>
            </w:r>
          </w:p>
        </w:tc>
      </w:tr>
      <w:tr w:rsidR="00060E13" w:rsidRPr="00652C1F" w14:paraId="691BCDAC" w14:textId="77777777" w:rsidTr="00ED13B7">
        <w:trPr>
          <w:trHeight w:val="220"/>
        </w:trPr>
        <w:tc>
          <w:tcPr>
            <w:tcW w:w="1480" w:type="dxa"/>
            <w:tcBorders>
              <w:top w:val="nil"/>
              <w:left w:val="nil"/>
              <w:bottom w:val="nil"/>
              <w:right w:val="nil"/>
            </w:tcBorders>
            <w:shd w:val="clear" w:color="auto" w:fill="auto"/>
            <w:noWrap/>
            <w:vAlign w:val="bottom"/>
            <w:hideMark/>
          </w:tcPr>
          <w:p w14:paraId="172BB8E4" w14:textId="77777777" w:rsidR="00060E13" w:rsidRPr="00652C1F" w:rsidRDefault="00060E13" w:rsidP="00ED13B7">
            <w:pPr>
              <w:rPr>
                <w:rFonts w:ascii="Palatino Linotype" w:hAnsi="Palatino Linotype"/>
                <w:color w:val="000000"/>
                <w:sz w:val="16"/>
                <w:szCs w:val="16"/>
              </w:rPr>
            </w:pPr>
            <w:r w:rsidRPr="00652C1F">
              <w:rPr>
                <w:rFonts w:ascii="Palatino Linotype" w:hAnsi="Palatino Linotype"/>
                <w:color w:val="000000"/>
                <w:sz w:val="16"/>
                <w:szCs w:val="16"/>
              </w:rPr>
              <w:t>Neg</w:t>
            </w:r>
          </w:p>
        </w:tc>
        <w:tc>
          <w:tcPr>
            <w:tcW w:w="880" w:type="dxa"/>
            <w:tcBorders>
              <w:top w:val="nil"/>
              <w:left w:val="nil"/>
              <w:bottom w:val="nil"/>
              <w:right w:val="nil"/>
            </w:tcBorders>
            <w:shd w:val="clear" w:color="auto" w:fill="auto"/>
            <w:noWrap/>
            <w:vAlign w:val="bottom"/>
            <w:hideMark/>
          </w:tcPr>
          <w:p w14:paraId="0360D2DB" w14:textId="77777777" w:rsidR="00060E13" w:rsidRPr="00652C1F" w:rsidRDefault="00060E13" w:rsidP="00ED13B7">
            <w:pPr>
              <w:rPr>
                <w:rFonts w:ascii="Palatino Linotype" w:hAnsi="Palatino Linotype"/>
                <w:color w:val="000000"/>
                <w:sz w:val="16"/>
                <w:szCs w:val="16"/>
              </w:rPr>
            </w:pPr>
            <w:r w:rsidRPr="00652C1F">
              <w:rPr>
                <w:rFonts w:ascii="Palatino Linotype" w:hAnsi="Palatino Linotype"/>
                <w:color w:val="000000"/>
                <w:sz w:val="16"/>
                <w:szCs w:val="16"/>
              </w:rPr>
              <w:t>Leaves</w:t>
            </w:r>
          </w:p>
        </w:tc>
        <w:tc>
          <w:tcPr>
            <w:tcW w:w="500" w:type="dxa"/>
            <w:tcBorders>
              <w:top w:val="nil"/>
              <w:left w:val="nil"/>
              <w:bottom w:val="nil"/>
              <w:right w:val="nil"/>
            </w:tcBorders>
            <w:shd w:val="clear" w:color="auto" w:fill="auto"/>
            <w:noWrap/>
            <w:vAlign w:val="bottom"/>
            <w:hideMark/>
          </w:tcPr>
          <w:p w14:paraId="3485CEBC"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1</w:t>
            </w:r>
          </w:p>
        </w:tc>
        <w:tc>
          <w:tcPr>
            <w:tcW w:w="1300" w:type="dxa"/>
            <w:tcBorders>
              <w:top w:val="nil"/>
              <w:left w:val="nil"/>
              <w:bottom w:val="nil"/>
              <w:right w:val="nil"/>
            </w:tcBorders>
            <w:shd w:val="clear" w:color="auto" w:fill="auto"/>
            <w:noWrap/>
            <w:vAlign w:val="bottom"/>
            <w:hideMark/>
          </w:tcPr>
          <w:p w14:paraId="0C58DE76"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1 + 6 + 0</w:t>
            </w:r>
          </w:p>
        </w:tc>
        <w:tc>
          <w:tcPr>
            <w:tcW w:w="880" w:type="dxa"/>
            <w:tcBorders>
              <w:top w:val="nil"/>
              <w:left w:val="nil"/>
              <w:bottom w:val="nil"/>
              <w:right w:val="nil"/>
            </w:tcBorders>
            <w:shd w:val="clear" w:color="auto" w:fill="auto"/>
            <w:noWrap/>
            <w:vAlign w:val="bottom"/>
            <w:hideMark/>
          </w:tcPr>
          <w:p w14:paraId="485B1861"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0.705</w:t>
            </w:r>
          </w:p>
        </w:tc>
        <w:tc>
          <w:tcPr>
            <w:tcW w:w="880" w:type="dxa"/>
            <w:tcBorders>
              <w:top w:val="nil"/>
              <w:left w:val="nil"/>
              <w:bottom w:val="nil"/>
              <w:right w:val="nil"/>
            </w:tcBorders>
            <w:shd w:val="clear" w:color="auto" w:fill="auto"/>
            <w:noWrap/>
            <w:vAlign w:val="bottom"/>
            <w:hideMark/>
          </w:tcPr>
          <w:p w14:paraId="69C30DF6"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0.906</w:t>
            </w:r>
          </w:p>
        </w:tc>
        <w:tc>
          <w:tcPr>
            <w:tcW w:w="880" w:type="dxa"/>
            <w:tcBorders>
              <w:top w:val="nil"/>
              <w:left w:val="nil"/>
              <w:bottom w:val="nil"/>
              <w:right w:val="nil"/>
            </w:tcBorders>
            <w:shd w:val="clear" w:color="auto" w:fill="auto"/>
            <w:noWrap/>
            <w:vAlign w:val="bottom"/>
            <w:hideMark/>
          </w:tcPr>
          <w:p w14:paraId="7AFB9691"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&lt; 0.05</w:t>
            </w:r>
          </w:p>
        </w:tc>
        <w:tc>
          <w:tcPr>
            <w:tcW w:w="160" w:type="dxa"/>
            <w:tcBorders>
              <w:top w:val="nil"/>
              <w:left w:val="nil"/>
              <w:bottom w:val="nil"/>
              <w:right w:val="nil"/>
            </w:tcBorders>
            <w:shd w:val="clear" w:color="auto" w:fill="auto"/>
            <w:noWrap/>
            <w:vAlign w:val="bottom"/>
            <w:hideMark/>
          </w:tcPr>
          <w:p w14:paraId="20CC30B7" w14:textId="77777777" w:rsidR="00060E13" w:rsidRPr="00652C1F" w:rsidRDefault="00060E13" w:rsidP="00ED13B7">
            <w:pPr>
              <w:jc w:val="center"/>
              <w:rPr>
                <w:rFonts w:ascii="Palatino Linotype" w:hAnsi="Palatino Linotype"/>
                <w:color w:val="000000"/>
                <w:sz w:val="16"/>
                <w:szCs w:val="16"/>
              </w:rPr>
            </w:pPr>
          </w:p>
        </w:tc>
        <w:tc>
          <w:tcPr>
            <w:tcW w:w="880" w:type="dxa"/>
            <w:tcBorders>
              <w:top w:val="nil"/>
              <w:left w:val="nil"/>
              <w:bottom w:val="nil"/>
              <w:right w:val="nil"/>
            </w:tcBorders>
            <w:shd w:val="clear" w:color="auto" w:fill="auto"/>
            <w:noWrap/>
            <w:vAlign w:val="bottom"/>
            <w:hideMark/>
          </w:tcPr>
          <w:p w14:paraId="54758FA8"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(0.0; 1)</w:t>
            </w:r>
          </w:p>
        </w:tc>
        <w:tc>
          <w:tcPr>
            <w:tcW w:w="880" w:type="dxa"/>
            <w:tcBorders>
              <w:top w:val="nil"/>
              <w:left w:val="nil"/>
              <w:bottom w:val="nil"/>
              <w:right w:val="nil"/>
            </w:tcBorders>
            <w:shd w:val="clear" w:color="auto" w:fill="auto"/>
            <w:noWrap/>
            <w:vAlign w:val="bottom"/>
            <w:hideMark/>
          </w:tcPr>
          <w:p w14:paraId="3D14FC32"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(0.0; 0.0)</w:t>
            </w:r>
          </w:p>
        </w:tc>
      </w:tr>
      <w:tr w:rsidR="00060E13" w:rsidRPr="00652C1F" w14:paraId="58F5A1F3" w14:textId="77777777" w:rsidTr="00ED13B7">
        <w:trPr>
          <w:trHeight w:val="220"/>
        </w:trPr>
        <w:tc>
          <w:tcPr>
            <w:tcW w:w="1480" w:type="dxa"/>
            <w:tcBorders>
              <w:top w:val="nil"/>
              <w:left w:val="nil"/>
              <w:bottom w:val="nil"/>
              <w:right w:val="nil"/>
            </w:tcBorders>
            <w:shd w:val="clear" w:color="auto" w:fill="auto"/>
            <w:noWrap/>
            <w:vAlign w:val="bottom"/>
            <w:hideMark/>
          </w:tcPr>
          <w:p w14:paraId="6AAE3292" w14:textId="77777777" w:rsidR="00060E13" w:rsidRPr="00652C1F" w:rsidRDefault="00060E13" w:rsidP="00ED13B7">
            <w:pPr>
              <w:rPr>
                <w:rFonts w:ascii="Palatino Linotype" w:hAnsi="Palatino Linotype"/>
                <w:color w:val="000000"/>
                <w:sz w:val="16"/>
                <w:szCs w:val="16"/>
              </w:rPr>
            </w:pPr>
            <w:r w:rsidRPr="00652C1F">
              <w:rPr>
                <w:rFonts w:ascii="Palatino Linotype" w:hAnsi="Palatino Linotype"/>
                <w:color w:val="000000"/>
                <w:sz w:val="16"/>
                <w:szCs w:val="16"/>
              </w:rPr>
              <w:t>Neg</w:t>
            </w:r>
          </w:p>
        </w:tc>
        <w:tc>
          <w:tcPr>
            <w:tcW w:w="880" w:type="dxa"/>
            <w:tcBorders>
              <w:top w:val="nil"/>
              <w:left w:val="nil"/>
              <w:bottom w:val="nil"/>
              <w:right w:val="nil"/>
            </w:tcBorders>
            <w:shd w:val="clear" w:color="auto" w:fill="auto"/>
            <w:noWrap/>
            <w:vAlign w:val="bottom"/>
            <w:hideMark/>
          </w:tcPr>
          <w:p w14:paraId="37D70B3E" w14:textId="77777777" w:rsidR="00060E13" w:rsidRPr="00652C1F" w:rsidRDefault="00060E13" w:rsidP="00ED13B7">
            <w:pPr>
              <w:rPr>
                <w:rFonts w:ascii="Palatino Linotype" w:hAnsi="Palatino Linotype"/>
                <w:color w:val="000000"/>
                <w:sz w:val="16"/>
                <w:szCs w:val="16"/>
              </w:rPr>
            </w:pPr>
            <w:r w:rsidRPr="00652C1F">
              <w:rPr>
                <w:rFonts w:ascii="Palatino Linotype" w:hAnsi="Palatino Linotype"/>
                <w:color w:val="000000"/>
                <w:sz w:val="16"/>
                <w:szCs w:val="16"/>
              </w:rPr>
              <w:t>Leaves</w:t>
            </w:r>
          </w:p>
        </w:tc>
        <w:tc>
          <w:tcPr>
            <w:tcW w:w="500" w:type="dxa"/>
            <w:tcBorders>
              <w:top w:val="nil"/>
              <w:left w:val="nil"/>
              <w:bottom w:val="nil"/>
              <w:right w:val="nil"/>
            </w:tcBorders>
            <w:shd w:val="clear" w:color="auto" w:fill="auto"/>
            <w:noWrap/>
            <w:vAlign w:val="bottom"/>
            <w:hideMark/>
          </w:tcPr>
          <w:p w14:paraId="4FD71B32"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4</w:t>
            </w:r>
          </w:p>
        </w:tc>
        <w:tc>
          <w:tcPr>
            <w:tcW w:w="1300" w:type="dxa"/>
            <w:tcBorders>
              <w:top w:val="nil"/>
              <w:left w:val="nil"/>
              <w:bottom w:val="nil"/>
              <w:right w:val="nil"/>
            </w:tcBorders>
            <w:shd w:val="clear" w:color="auto" w:fill="auto"/>
            <w:noWrap/>
            <w:vAlign w:val="bottom"/>
            <w:hideMark/>
          </w:tcPr>
          <w:p w14:paraId="0A3B268F"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1 + 4 + 0</w:t>
            </w:r>
          </w:p>
        </w:tc>
        <w:tc>
          <w:tcPr>
            <w:tcW w:w="880" w:type="dxa"/>
            <w:tcBorders>
              <w:top w:val="nil"/>
              <w:left w:val="nil"/>
              <w:bottom w:val="nil"/>
              <w:right w:val="nil"/>
            </w:tcBorders>
            <w:shd w:val="clear" w:color="auto" w:fill="auto"/>
            <w:noWrap/>
            <w:vAlign w:val="bottom"/>
            <w:hideMark/>
          </w:tcPr>
          <w:p w14:paraId="1A42E3D0"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0.506</w:t>
            </w:r>
          </w:p>
        </w:tc>
        <w:tc>
          <w:tcPr>
            <w:tcW w:w="880" w:type="dxa"/>
            <w:tcBorders>
              <w:top w:val="nil"/>
              <w:left w:val="nil"/>
              <w:bottom w:val="nil"/>
              <w:right w:val="nil"/>
            </w:tcBorders>
            <w:shd w:val="clear" w:color="auto" w:fill="auto"/>
            <w:noWrap/>
            <w:vAlign w:val="bottom"/>
            <w:hideMark/>
          </w:tcPr>
          <w:p w14:paraId="132A6E51"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0.949</w:t>
            </w:r>
          </w:p>
        </w:tc>
        <w:tc>
          <w:tcPr>
            <w:tcW w:w="880" w:type="dxa"/>
            <w:tcBorders>
              <w:top w:val="nil"/>
              <w:left w:val="nil"/>
              <w:bottom w:val="nil"/>
              <w:right w:val="nil"/>
            </w:tcBorders>
            <w:shd w:val="clear" w:color="auto" w:fill="auto"/>
            <w:noWrap/>
            <w:vAlign w:val="bottom"/>
            <w:hideMark/>
          </w:tcPr>
          <w:p w14:paraId="5DD6E567"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&lt; 0.05</w:t>
            </w:r>
          </w:p>
        </w:tc>
        <w:tc>
          <w:tcPr>
            <w:tcW w:w="160" w:type="dxa"/>
            <w:tcBorders>
              <w:top w:val="nil"/>
              <w:left w:val="nil"/>
              <w:bottom w:val="nil"/>
              <w:right w:val="nil"/>
            </w:tcBorders>
            <w:shd w:val="clear" w:color="auto" w:fill="auto"/>
            <w:noWrap/>
            <w:vAlign w:val="bottom"/>
            <w:hideMark/>
          </w:tcPr>
          <w:p w14:paraId="182B814E" w14:textId="77777777" w:rsidR="00060E13" w:rsidRPr="00652C1F" w:rsidRDefault="00060E13" w:rsidP="00ED13B7">
            <w:pPr>
              <w:jc w:val="center"/>
              <w:rPr>
                <w:rFonts w:ascii="Palatino Linotype" w:hAnsi="Palatino Linotype"/>
                <w:color w:val="000000"/>
                <w:sz w:val="16"/>
                <w:szCs w:val="16"/>
              </w:rPr>
            </w:pPr>
          </w:p>
        </w:tc>
        <w:tc>
          <w:tcPr>
            <w:tcW w:w="880" w:type="dxa"/>
            <w:tcBorders>
              <w:top w:val="nil"/>
              <w:left w:val="nil"/>
              <w:bottom w:val="nil"/>
              <w:right w:val="nil"/>
            </w:tcBorders>
            <w:shd w:val="clear" w:color="auto" w:fill="auto"/>
            <w:noWrap/>
            <w:vAlign w:val="bottom"/>
            <w:hideMark/>
          </w:tcPr>
          <w:p w14:paraId="580C3B7E"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(0.0; 1)</w:t>
            </w:r>
          </w:p>
        </w:tc>
        <w:tc>
          <w:tcPr>
            <w:tcW w:w="880" w:type="dxa"/>
            <w:tcBorders>
              <w:top w:val="nil"/>
              <w:left w:val="nil"/>
              <w:bottom w:val="nil"/>
              <w:right w:val="nil"/>
            </w:tcBorders>
            <w:shd w:val="clear" w:color="auto" w:fill="auto"/>
            <w:noWrap/>
            <w:vAlign w:val="bottom"/>
            <w:hideMark/>
          </w:tcPr>
          <w:p w14:paraId="6853266A"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(0.0; -0.3)</w:t>
            </w:r>
          </w:p>
        </w:tc>
      </w:tr>
      <w:tr w:rsidR="00060E13" w:rsidRPr="00652C1F" w14:paraId="1AFCF270" w14:textId="77777777" w:rsidTr="00ED13B7">
        <w:trPr>
          <w:trHeight w:val="220"/>
        </w:trPr>
        <w:tc>
          <w:tcPr>
            <w:tcW w:w="1480" w:type="dxa"/>
            <w:tcBorders>
              <w:top w:val="nil"/>
              <w:left w:val="nil"/>
              <w:bottom w:val="nil"/>
              <w:right w:val="nil"/>
            </w:tcBorders>
            <w:shd w:val="clear" w:color="auto" w:fill="auto"/>
            <w:noWrap/>
            <w:vAlign w:val="bottom"/>
            <w:hideMark/>
          </w:tcPr>
          <w:p w14:paraId="6252C144" w14:textId="77777777" w:rsidR="00060E13" w:rsidRPr="00652C1F" w:rsidRDefault="00060E13" w:rsidP="00ED13B7">
            <w:pPr>
              <w:rPr>
                <w:rFonts w:ascii="Palatino Linotype" w:hAnsi="Palatino Linotype"/>
                <w:color w:val="000000"/>
                <w:sz w:val="16"/>
                <w:szCs w:val="16"/>
              </w:rPr>
            </w:pPr>
            <w:r w:rsidRPr="00652C1F">
              <w:rPr>
                <w:rFonts w:ascii="Palatino Linotype" w:hAnsi="Palatino Linotype"/>
                <w:color w:val="000000"/>
                <w:sz w:val="16"/>
                <w:szCs w:val="16"/>
              </w:rPr>
              <w:t>Neg</w:t>
            </w:r>
          </w:p>
        </w:tc>
        <w:tc>
          <w:tcPr>
            <w:tcW w:w="880" w:type="dxa"/>
            <w:tcBorders>
              <w:top w:val="nil"/>
              <w:left w:val="nil"/>
              <w:bottom w:val="nil"/>
              <w:right w:val="nil"/>
            </w:tcBorders>
            <w:shd w:val="clear" w:color="auto" w:fill="auto"/>
            <w:noWrap/>
            <w:vAlign w:val="bottom"/>
            <w:hideMark/>
          </w:tcPr>
          <w:p w14:paraId="1BCD2D50" w14:textId="77777777" w:rsidR="00060E13" w:rsidRPr="00652C1F" w:rsidRDefault="00060E13" w:rsidP="00ED13B7">
            <w:pPr>
              <w:rPr>
                <w:rFonts w:ascii="Palatino Linotype" w:hAnsi="Palatino Linotype"/>
                <w:color w:val="000000"/>
                <w:sz w:val="16"/>
                <w:szCs w:val="16"/>
              </w:rPr>
            </w:pPr>
            <w:r w:rsidRPr="00652C1F">
              <w:rPr>
                <w:rFonts w:ascii="Palatino Linotype" w:hAnsi="Palatino Linotype"/>
                <w:color w:val="000000"/>
                <w:sz w:val="16"/>
                <w:szCs w:val="16"/>
              </w:rPr>
              <w:t>Leaves</w:t>
            </w:r>
          </w:p>
        </w:tc>
        <w:tc>
          <w:tcPr>
            <w:tcW w:w="500" w:type="dxa"/>
            <w:tcBorders>
              <w:top w:val="nil"/>
              <w:left w:val="nil"/>
              <w:bottom w:val="nil"/>
              <w:right w:val="nil"/>
            </w:tcBorders>
            <w:shd w:val="clear" w:color="auto" w:fill="auto"/>
            <w:noWrap/>
            <w:vAlign w:val="bottom"/>
            <w:hideMark/>
          </w:tcPr>
          <w:p w14:paraId="29502736"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7</w:t>
            </w:r>
          </w:p>
        </w:tc>
        <w:tc>
          <w:tcPr>
            <w:tcW w:w="1300" w:type="dxa"/>
            <w:tcBorders>
              <w:top w:val="nil"/>
              <w:left w:val="nil"/>
              <w:bottom w:val="nil"/>
              <w:right w:val="nil"/>
            </w:tcBorders>
            <w:shd w:val="clear" w:color="auto" w:fill="auto"/>
            <w:noWrap/>
            <w:vAlign w:val="bottom"/>
            <w:hideMark/>
          </w:tcPr>
          <w:p w14:paraId="02FD1198"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1 + 4 + 0</w:t>
            </w:r>
          </w:p>
        </w:tc>
        <w:tc>
          <w:tcPr>
            <w:tcW w:w="880" w:type="dxa"/>
            <w:tcBorders>
              <w:top w:val="nil"/>
              <w:left w:val="nil"/>
              <w:bottom w:val="nil"/>
              <w:right w:val="nil"/>
            </w:tcBorders>
            <w:shd w:val="clear" w:color="auto" w:fill="auto"/>
            <w:noWrap/>
            <w:vAlign w:val="bottom"/>
            <w:hideMark/>
          </w:tcPr>
          <w:p w14:paraId="4198B8EE"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0.532</w:t>
            </w:r>
          </w:p>
        </w:tc>
        <w:tc>
          <w:tcPr>
            <w:tcW w:w="880" w:type="dxa"/>
            <w:tcBorders>
              <w:top w:val="nil"/>
              <w:left w:val="nil"/>
              <w:bottom w:val="nil"/>
              <w:right w:val="nil"/>
            </w:tcBorders>
            <w:shd w:val="clear" w:color="auto" w:fill="auto"/>
            <w:noWrap/>
            <w:vAlign w:val="bottom"/>
            <w:hideMark/>
          </w:tcPr>
          <w:p w14:paraId="1AFB4B99"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0.854</w:t>
            </w:r>
          </w:p>
        </w:tc>
        <w:tc>
          <w:tcPr>
            <w:tcW w:w="880" w:type="dxa"/>
            <w:tcBorders>
              <w:top w:val="nil"/>
              <w:left w:val="nil"/>
              <w:bottom w:val="nil"/>
              <w:right w:val="nil"/>
            </w:tcBorders>
            <w:shd w:val="clear" w:color="auto" w:fill="auto"/>
            <w:noWrap/>
            <w:vAlign w:val="bottom"/>
            <w:hideMark/>
          </w:tcPr>
          <w:p w14:paraId="358FDB7D"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&lt; 0.05</w:t>
            </w:r>
          </w:p>
        </w:tc>
        <w:tc>
          <w:tcPr>
            <w:tcW w:w="160" w:type="dxa"/>
            <w:tcBorders>
              <w:top w:val="nil"/>
              <w:left w:val="nil"/>
              <w:bottom w:val="nil"/>
              <w:right w:val="nil"/>
            </w:tcBorders>
            <w:shd w:val="clear" w:color="auto" w:fill="auto"/>
            <w:noWrap/>
            <w:vAlign w:val="bottom"/>
            <w:hideMark/>
          </w:tcPr>
          <w:p w14:paraId="6AE41902" w14:textId="77777777" w:rsidR="00060E13" w:rsidRPr="00652C1F" w:rsidRDefault="00060E13" w:rsidP="00ED13B7">
            <w:pPr>
              <w:jc w:val="center"/>
              <w:rPr>
                <w:rFonts w:ascii="Palatino Linotype" w:hAnsi="Palatino Linotype"/>
                <w:color w:val="000000"/>
                <w:sz w:val="16"/>
                <w:szCs w:val="16"/>
              </w:rPr>
            </w:pPr>
          </w:p>
        </w:tc>
        <w:tc>
          <w:tcPr>
            <w:tcW w:w="880" w:type="dxa"/>
            <w:tcBorders>
              <w:top w:val="nil"/>
              <w:left w:val="nil"/>
              <w:bottom w:val="nil"/>
              <w:right w:val="nil"/>
            </w:tcBorders>
            <w:shd w:val="clear" w:color="auto" w:fill="auto"/>
            <w:noWrap/>
            <w:vAlign w:val="bottom"/>
            <w:hideMark/>
          </w:tcPr>
          <w:p w14:paraId="4BA05052"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(0.0; 1)</w:t>
            </w:r>
          </w:p>
        </w:tc>
        <w:tc>
          <w:tcPr>
            <w:tcW w:w="880" w:type="dxa"/>
            <w:tcBorders>
              <w:top w:val="nil"/>
              <w:left w:val="nil"/>
              <w:bottom w:val="nil"/>
              <w:right w:val="nil"/>
            </w:tcBorders>
            <w:shd w:val="clear" w:color="auto" w:fill="auto"/>
            <w:noWrap/>
            <w:vAlign w:val="bottom"/>
            <w:hideMark/>
          </w:tcPr>
          <w:p w14:paraId="60363786"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(0.0; -0.1)</w:t>
            </w:r>
          </w:p>
        </w:tc>
      </w:tr>
      <w:tr w:rsidR="00060E13" w:rsidRPr="00652C1F" w14:paraId="643DAF54" w14:textId="77777777" w:rsidTr="00ED13B7">
        <w:trPr>
          <w:trHeight w:val="220"/>
        </w:trPr>
        <w:tc>
          <w:tcPr>
            <w:tcW w:w="1480" w:type="dxa"/>
            <w:tcBorders>
              <w:top w:val="nil"/>
              <w:left w:val="nil"/>
              <w:bottom w:val="nil"/>
              <w:right w:val="nil"/>
            </w:tcBorders>
            <w:shd w:val="clear" w:color="auto" w:fill="auto"/>
            <w:noWrap/>
            <w:vAlign w:val="bottom"/>
            <w:hideMark/>
          </w:tcPr>
          <w:p w14:paraId="74ED7598" w14:textId="77777777" w:rsidR="00060E13" w:rsidRPr="00652C1F" w:rsidRDefault="00060E13" w:rsidP="00ED13B7">
            <w:pPr>
              <w:rPr>
                <w:rFonts w:ascii="Palatino Linotype" w:hAnsi="Palatino Linotype"/>
                <w:color w:val="000000"/>
                <w:sz w:val="16"/>
                <w:szCs w:val="16"/>
              </w:rPr>
            </w:pPr>
            <w:r w:rsidRPr="00652C1F">
              <w:rPr>
                <w:rFonts w:ascii="Palatino Linotype" w:hAnsi="Palatino Linotype"/>
                <w:color w:val="000000"/>
                <w:sz w:val="16"/>
                <w:szCs w:val="16"/>
              </w:rPr>
              <w:t>Pos</w:t>
            </w:r>
          </w:p>
        </w:tc>
        <w:tc>
          <w:tcPr>
            <w:tcW w:w="880" w:type="dxa"/>
            <w:tcBorders>
              <w:top w:val="nil"/>
              <w:left w:val="nil"/>
              <w:bottom w:val="nil"/>
              <w:right w:val="nil"/>
            </w:tcBorders>
            <w:shd w:val="clear" w:color="auto" w:fill="auto"/>
            <w:noWrap/>
            <w:vAlign w:val="bottom"/>
            <w:hideMark/>
          </w:tcPr>
          <w:p w14:paraId="54C5504A" w14:textId="77777777" w:rsidR="00060E13" w:rsidRPr="00652C1F" w:rsidRDefault="00060E13" w:rsidP="00ED13B7">
            <w:pPr>
              <w:rPr>
                <w:rFonts w:ascii="Palatino Linotype" w:hAnsi="Palatino Linotype"/>
                <w:color w:val="000000"/>
                <w:sz w:val="16"/>
                <w:szCs w:val="16"/>
              </w:rPr>
            </w:pPr>
            <w:r w:rsidRPr="00652C1F">
              <w:rPr>
                <w:rFonts w:ascii="Palatino Linotype" w:hAnsi="Palatino Linotype"/>
                <w:color w:val="000000"/>
                <w:sz w:val="16"/>
                <w:szCs w:val="16"/>
              </w:rPr>
              <w:t>Leaves</w:t>
            </w:r>
          </w:p>
        </w:tc>
        <w:tc>
          <w:tcPr>
            <w:tcW w:w="500" w:type="dxa"/>
            <w:tcBorders>
              <w:top w:val="nil"/>
              <w:left w:val="nil"/>
              <w:bottom w:val="nil"/>
              <w:right w:val="nil"/>
            </w:tcBorders>
            <w:shd w:val="clear" w:color="auto" w:fill="auto"/>
            <w:noWrap/>
            <w:vAlign w:val="bottom"/>
            <w:hideMark/>
          </w:tcPr>
          <w:p w14:paraId="30A5FB54"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1</w:t>
            </w:r>
          </w:p>
        </w:tc>
        <w:tc>
          <w:tcPr>
            <w:tcW w:w="1300" w:type="dxa"/>
            <w:tcBorders>
              <w:top w:val="nil"/>
              <w:left w:val="nil"/>
              <w:bottom w:val="nil"/>
              <w:right w:val="nil"/>
            </w:tcBorders>
            <w:shd w:val="clear" w:color="auto" w:fill="auto"/>
            <w:noWrap/>
            <w:vAlign w:val="bottom"/>
            <w:hideMark/>
          </w:tcPr>
          <w:p w14:paraId="6AA79430"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1 + 3 + 0</w:t>
            </w:r>
          </w:p>
        </w:tc>
        <w:tc>
          <w:tcPr>
            <w:tcW w:w="880" w:type="dxa"/>
            <w:tcBorders>
              <w:top w:val="nil"/>
              <w:left w:val="nil"/>
              <w:bottom w:val="nil"/>
              <w:right w:val="nil"/>
            </w:tcBorders>
            <w:shd w:val="clear" w:color="auto" w:fill="auto"/>
            <w:noWrap/>
            <w:vAlign w:val="bottom"/>
            <w:hideMark/>
          </w:tcPr>
          <w:p w14:paraId="39ECEB00"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0.594</w:t>
            </w:r>
          </w:p>
        </w:tc>
        <w:tc>
          <w:tcPr>
            <w:tcW w:w="880" w:type="dxa"/>
            <w:tcBorders>
              <w:top w:val="nil"/>
              <w:left w:val="nil"/>
              <w:bottom w:val="nil"/>
              <w:right w:val="nil"/>
            </w:tcBorders>
            <w:shd w:val="clear" w:color="auto" w:fill="auto"/>
            <w:noWrap/>
            <w:vAlign w:val="bottom"/>
            <w:hideMark/>
          </w:tcPr>
          <w:p w14:paraId="5100389D"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0.943</w:t>
            </w:r>
          </w:p>
        </w:tc>
        <w:tc>
          <w:tcPr>
            <w:tcW w:w="880" w:type="dxa"/>
            <w:tcBorders>
              <w:top w:val="nil"/>
              <w:left w:val="nil"/>
              <w:bottom w:val="nil"/>
              <w:right w:val="nil"/>
            </w:tcBorders>
            <w:shd w:val="clear" w:color="auto" w:fill="auto"/>
            <w:noWrap/>
            <w:vAlign w:val="bottom"/>
            <w:hideMark/>
          </w:tcPr>
          <w:p w14:paraId="1088C22B"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&lt; 0.05</w:t>
            </w:r>
          </w:p>
        </w:tc>
        <w:tc>
          <w:tcPr>
            <w:tcW w:w="160" w:type="dxa"/>
            <w:tcBorders>
              <w:top w:val="nil"/>
              <w:left w:val="nil"/>
              <w:bottom w:val="nil"/>
              <w:right w:val="nil"/>
            </w:tcBorders>
            <w:shd w:val="clear" w:color="auto" w:fill="auto"/>
            <w:noWrap/>
            <w:vAlign w:val="bottom"/>
            <w:hideMark/>
          </w:tcPr>
          <w:p w14:paraId="698DAB02" w14:textId="77777777" w:rsidR="00060E13" w:rsidRPr="00652C1F" w:rsidRDefault="00060E13" w:rsidP="00ED13B7">
            <w:pPr>
              <w:jc w:val="center"/>
              <w:rPr>
                <w:rFonts w:ascii="Palatino Linotype" w:hAnsi="Palatino Linotype"/>
                <w:color w:val="000000"/>
                <w:sz w:val="16"/>
                <w:szCs w:val="16"/>
              </w:rPr>
            </w:pPr>
          </w:p>
        </w:tc>
        <w:tc>
          <w:tcPr>
            <w:tcW w:w="880" w:type="dxa"/>
            <w:tcBorders>
              <w:top w:val="nil"/>
              <w:left w:val="nil"/>
              <w:bottom w:val="nil"/>
              <w:right w:val="nil"/>
            </w:tcBorders>
            <w:shd w:val="clear" w:color="auto" w:fill="auto"/>
            <w:noWrap/>
            <w:vAlign w:val="bottom"/>
            <w:hideMark/>
          </w:tcPr>
          <w:p w14:paraId="7AE65F30"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(0.0; 1)</w:t>
            </w:r>
          </w:p>
        </w:tc>
        <w:tc>
          <w:tcPr>
            <w:tcW w:w="880" w:type="dxa"/>
            <w:tcBorders>
              <w:top w:val="nil"/>
              <w:left w:val="nil"/>
              <w:bottom w:val="nil"/>
              <w:right w:val="nil"/>
            </w:tcBorders>
            <w:shd w:val="clear" w:color="auto" w:fill="auto"/>
            <w:noWrap/>
            <w:vAlign w:val="bottom"/>
            <w:hideMark/>
          </w:tcPr>
          <w:p w14:paraId="72DEB11E" w14:textId="3AD9CC5A"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(0.0; -0.</w:t>
            </w:r>
            <w:r w:rsidR="00A742E7">
              <w:rPr>
                <w:rFonts w:ascii="Palatino Linotype" w:hAnsi="Palatino Linotype"/>
                <w:color w:val="000000"/>
                <w:sz w:val="16"/>
                <w:szCs w:val="16"/>
              </w:rPr>
              <w:t>4</w:t>
            </w:r>
            <w:r w:rsidRPr="00652C1F">
              <w:rPr>
                <w:rFonts w:ascii="Palatino Linotype" w:hAnsi="Palatino Linotype"/>
                <w:color w:val="000000"/>
                <w:sz w:val="16"/>
                <w:szCs w:val="16"/>
              </w:rPr>
              <w:t>)</w:t>
            </w:r>
          </w:p>
        </w:tc>
      </w:tr>
      <w:tr w:rsidR="00060E13" w:rsidRPr="00652C1F" w14:paraId="4F6E9141" w14:textId="77777777" w:rsidTr="00ED13B7">
        <w:trPr>
          <w:trHeight w:val="220"/>
        </w:trPr>
        <w:tc>
          <w:tcPr>
            <w:tcW w:w="1480" w:type="dxa"/>
            <w:tcBorders>
              <w:top w:val="nil"/>
              <w:left w:val="nil"/>
              <w:bottom w:val="nil"/>
              <w:right w:val="nil"/>
            </w:tcBorders>
            <w:shd w:val="clear" w:color="auto" w:fill="auto"/>
            <w:noWrap/>
            <w:vAlign w:val="bottom"/>
            <w:hideMark/>
          </w:tcPr>
          <w:p w14:paraId="2D7C04DB" w14:textId="77777777" w:rsidR="00060E13" w:rsidRPr="00652C1F" w:rsidRDefault="00060E13" w:rsidP="00ED13B7">
            <w:pPr>
              <w:rPr>
                <w:rFonts w:ascii="Palatino Linotype" w:hAnsi="Palatino Linotype"/>
                <w:color w:val="000000"/>
                <w:sz w:val="16"/>
                <w:szCs w:val="16"/>
              </w:rPr>
            </w:pPr>
            <w:r w:rsidRPr="00652C1F">
              <w:rPr>
                <w:rFonts w:ascii="Palatino Linotype" w:hAnsi="Palatino Linotype"/>
                <w:color w:val="000000"/>
                <w:sz w:val="16"/>
                <w:szCs w:val="16"/>
              </w:rPr>
              <w:t>Pos</w:t>
            </w:r>
          </w:p>
        </w:tc>
        <w:tc>
          <w:tcPr>
            <w:tcW w:w="880" w:type="dxa"/>
            <w:tcBorders>
              <w:top w:val="nil"/>
              <w:left w:val="nil"/>
              <w:bottom w:val="nil"/>
              <w:right w:val="nil"/>
            </w:tcBorders>
            <w:shd w:val="clear" w:color="auto" w:fill="auto"/>
            <w:noWrap/>
            <w:vAlign w:val="bottom"/>
            <w:hideMark/>
          </w:tcPr>
          <w:p w14:paraId="09D30926" w14:textId="77777777" w:rsidR="00060E13" w:rsidRPr="00652C1F" w:rsidRDefault="00060E13" w:rsidP="00ED13B7">
            <w:pPr>
              <w:rPr>
                <w:rFonts w:ascii="Palatino Linotype" w:hAnsi="Palatino Linotype"/>
                <w:color w:val="000000"/>
                <w:sz w:val="16"/>
                <w:szCs w:val="16"/>
              </w:rPr>
            </w:pPr>
            <w:r w:rsidRPr="00652C1F">
              <w:rPr>
                <w:rFonts w:ascii="Palatino Linotype" w:hAnsi="Palatino Linotype"/>
                <w:color w:val="000000"/>
                <w:sz w:val="16"/>
                <w:szCs w:val="16"/>
              </w:rPr>
              <w:t>Leaves</w:t>
            </w:r>
          </w:p>
        </w:tc>
        <w:tc>
          <w:tcPr>
            <w:tcW w:w="500" w:type="dxa"/>
            <w:tcBorders>
              <w:top w:val="nil"/>
              <w:left w:val="nil"/>
              <w:bottom w:val="nil"/>
              <w:right w:val="nil"/>
            </w:tcBorders>
            <w:shd w:val="clear" w:color="auto" w:fill="auto"/>
            <w:noWrap/>
            <w:vAlign w:val="bottom"/>
            <w:hideMark/>
          </w:tcPr>
          <w:p w14:paraId="0012A424"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4</w:t>
            </w:r>
          </w:p>
        </w:tc>
        <w:tc>
          <w:tcPr>
            <w:tcW w:w="1300" w:type="dxa"/>
            <w:tcBorders>
              <w:top w:val="nil"/>
              <w:left w:val="nil"/>
              <w:bottom w:val="nil"/>
              <w:right w:val="nil"/>
            </w:tcBorders>
            <w:shd w:val="clear" w:color="auto" w:fill="auto"/>
            <w:noWrap/>
            <w:vAlign w:val="bottom"/>
            <w:hideMark/>
          </w:tcPr>
          <w:p w14:paraId="662FA86E"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1 + 3 + 0</w:t>
            </w:r>
          </w:p>
        </w:tc>
        <w:tc>
          <w:tcPr>
            <w:tcW w:w="880" w:type="dxa"/>
            <w:tcBorders>
              <w:top w:val="nil"/>
              <w:left w:val="nil"/>
              <w:bottom w:val="nil"/>
              <w:right w:val="nil"/>
            </w:tcBorders>
            <w:shd w:val="clear" w:color="auto" w:fill="auto"/>
            <w:noWrap/>
            <w:vAlign w:val="bottom"/>
            <w:hideMark/>
          </w:tcPr>
          <w:p w14:paraId="4D5D7C5F"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0.529</w:t>
            </w:r>
          </w:p>
        </w:tc>
        <w:tc>
          <w:tcPr>
            <w:tcW w:w="880" w:type="dxa"/>
            <w:tcBorders>
              <w:top w:val="nil"/>
              <w:left w:val="nil"/>
              <w:bottom w:val="nil"/>
              <w:right w:val="nil"/>
            </w:tcBorders>
            <w:shd w:val="clear" w:color="auto" w:fill="auto"/>
            <w:noWrap/>
            <w:vAlign w:val="bottom"/>
            <w:hideMark/>
          </w:tcPr>
          <w:p w14:paraId="16792C05"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0.952</w:t>
            </w:r>
          </w:p>
        </w:tc>
        <w:tc>
          <w:tcPr>
            <w:tcW w:w="880" w:type="dxa"/>
            <w:tcBorders>
              <w:top w:val="nil"/>
              <w:left w:val="nil"/>
              <w:bottom w:val="nil"/>
              <w:right w:val="nil"/>
            </w:tcBorders>
            <w:shd w:val="clear" w:color="auto" w:fill="auto"/>
            <w:noWrap/>
            <w:vAlign w:val="bottom"/>
            <w:hideMark/>
          </w:tcPr>
          <w:p w14:paraId="419A77AF"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&lt; 0.05</w:t>
            </w:r>
          </w:p>
        </w:tc>
        <w:tc>
          <w:tcPr>
            <w:tcW w:w="160" w:type="dxa"/>
            <w:tcBorders>
              <w:top w:val="nil"/>
              <w:left w:val="nil"/>
              <w:bottom w:val="nil"/>
              <w:right w:val="nil"/>
            </w:tcBorders>
            <w:shd w:val="clear" w:color="auto" w:fill="auto"/>
            <w:noWrap/>
            <w:vAlign w:val="bottom"/>
            <w:hideMark/>
          </w:tcPr>
          <w:p w14:paraId="5DEE536F" w14:textId="77777777" w:rsidR="00060E13" w:rsidRPr="00652C1F" w:rsidRDefault="00060E13" w:rsidP="00ED13B7">
            <w:pPr>
              <w:jc w:val="center"/>
              <w:rPr>
                <w:rFonts w:ascii="Palatino Linotype" w:hAnsi="Palatino Linotype"/>
                <w:color w:val="000000"/>
                <w:sz w:val="16"/>
                <w:szCs w:val="16"/>
              </w:rPr>
            </w:pPr>
          </w:p>
        </w:tc>
        <w:tc>
          <w:tcPr>
            <w:tcW w:w="880" w:type="dxa"/>
            <w:tcBorders>
              <w:top w:val="nil"/>
              <w:left w:val="nil"/>
              <w:bottom w:val="nil"/>
              <w:right w:val="nil"/>
            </w:tcBorders>
            <w:shd w:val="clear" w:color="auto" w:fill="auto"/>
            <w:noWrap/>
            <w:vAlign w:val="bottom"/>
            <w:hideMark/>
          </w:tcPr>
          <w:p w14:paraId="1B03A184"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(0.0; 1)</w:t>
            </w:r>
          </w:p>
        </w:tc>
        <w:tc>
          <w:tcPr>
            <w:tcW w:w="880" w:type="dxa"/>
            <w:tcBorders>
              <w:top w:val="nil"/>
              <w:left w:val="nil"/>
              <w:bottom w:val="nil"/>
              <w:right w:val="nil"/>
            </w:tcBorders>
            <w:shd w:val="clear" w:color="auto" w:fill="auto"/>
            <w:noWrap/>
            <w:vAlign w:val="bottom"/>
            <w:hideMark/>
          </w:tcPr>
          <w:p w14:paraId="755816C6"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(0.0; -0.3)</w:t>
            </w:r>
          </w:p>
        </w:tc>
      </w:tr>
      <w:tr w:rsidR="00060E13" w:rsidRPr="00652C1F" w14:paraId="279F0145" w14:textId="77777777" w:rsidTr="00ED13B7">
        <w:trPr>
          <w:trHeight w:val="220"/>
        </w:trPr>
        <w:tc>
          <w:tcPr>
            <w:tcW w:w="1480" w:type="dxa"/>
            <w:tcBorders>
              <w:top w:val="nil"/>
              <w:left w:val="nil"/>
              <w:bottom w:val="nil"/>
              <w:right w:val="nil"/>
            </w:tcBorders>
            <w:shd w:val="clear" w:color="auto" w:fill="auto"/>
            <w:noWrap/>
            <w:vAlign w:val="bottom"/>
            <w:hideMark/>
          </w:tcPr>
          <w:p w14:paraId="5FC75708" w14:textId="77777777" w:rsidR="00060E13" w:rsidRPr="00652C1F" w:rsidRDefault="00060E13" w:rsidP="00ED13B7">
            <w:pPr>
              <w:rPr>
                <w:rFonts w:ascii="Palatino Linotype" w:hAnsi="Palatino Linotype"/>
                <w:color w:val="000000"/>
                <w:sz w:val="16"/>
                <w:szCs w:val="16"/>
              </w:rPr>
            </w:pPr>
            <w:r w:rsidRPr="00652C1F">
              <w:rPr>
                <w:rFonts w:ascii="Palatino Linotype" w:hAnsi="Palatino Linotype"/>
                <w:color w:val="000000"/>
                <w:sz w:val="16"/>
                <w:szCs w:val="16"/>
              </w:rPr>
              <w:t>Pos</w:t>
            </w:r>
          </w:p>
        </w:tc>
        <w:tc>
          <w:tcPr>
            <w:tcW w:w="880" w:type="dxa"/>
            <w:tcBorders>
              <w:top w:val="nil"/>
              <w:left w:val="nil"/>
              <w:bottom w:val="nil"/>
              <w:right w:val="nil"/>
            </w:tcBorders>
            <w:shd w:val="clear" w:color="auto" w:fill="auto"/>
            <w:noWrap/>
            <w:vAlign w:val="bottom"/>
            <w:hideMark/>
          </w:tcPr>
          <w:p w14:paraId="7D62C7BC" w14:textId="77777777" w:rsidR="00060E13" w:rsidRPr="00652C1F" w:rsidRDefault="00060E13" w:rsidP="00ED13B7">
            <w:pPr>
              <w:rPr>
                <w:rFonts w:ascii="Palatino Linotype" w:hAnsi="Palatino Linotype"/>
                <w:color w:val="000000"/>
                <w:sz w:val="16"/>
                <w:szCs w:val="16"/>
              </w:rPr>
            </w:pPr>
            <w:r w:rsidRPr="00652C1F">
              <w:rPr>
                <w:rFonts w:ascii="Palatino Linotype" w:hAnsi="Palatino Linotype"/>
                <w:color w:val="000000"/>
                <w:sz w:val="16"/>
                <w:szCs w:val="16"/>
              </w:rPr>
              <w:t>Leaves</w:t>
            </w:r>
          </w:p>
        </w:tc>
        <w:tc>
          <w:tcPr>
            <w:tcW w:w="500" w:type="dxa"/>
            <w:tcBorders>
              <w:top w:val="nil"/>
              <w:left w:val="nil"/>
              <w:bottom w:val="nil"/>
              <w:right w:val="nil"/>
            </w:tcBorders>
            <w:shd w:val="clear" w:color="auto" w:fill="auto"/>
            <w:noWrap/>
            <w:vAlign w:val="bottom"/>
            <w:hideMark/>
          </w:tcPr>
          <w:p w14:paraId="519584D6"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7</w:t>
            </w:r>
          </w:p>
        </w:tc>
        <w:tc>
          <w:tcPr>
            <w:tcW w:w="1300" w:type="dxa"/>
            <w:tcBorders>
              <w:top w:val="nil"/>
              <w:left w:val="nil"/>
              <w:bottom w:val="nil"/>
              <w:right w:val="nil"/>
            </w:tcBorders>
            <w:shd w:val="clear" w:color="auto" w:fill="auto"/>
            <w:noWrap/>
            <w:vAlign w:val="bottom"/>
            <w:hideMark/>
          </w:tcPr>
          <w:p w14:paraId="7015E439"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1 + 4 + 0</w:t>
            </w:r>
          </w:p>
        </w:tc>
        <w:tc>
          <w:tcPr>
            <w:tcW w:w="880" w:type="dxa"/>
            <w:tcBorders>
              <w:top w:val="nil"/>
              <w:left w:val="nil"/>
              <w:bottom w:val="nil"/>
              <w:right w:val="nil"/>
            </w:tcBorders>
            <w:shd w:val="clear" w:color="auto" w:fill="auto"/>
            <w:noWrap/>
            <w:vAlign w:val="bottom"/>
            <w:hideMark/>
          </w:tcPr>
          <w:p w14:paraId="12E160C9"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0.533</w:t>
            </w:r>
          </w:p>
        </w:tc>
        <w:tc>
          <w:tcPr>
            <w:tcW w:w="880" w:type="dxa"/>
            <w:tcBorders>
              <w:top w:val="nil"/>
              <w:left w:val="nil"/>
              <w:bottom w:val="nil"/>
              <w:right w:val="nil"/>
            </w:tcBorders>
            <w:shd w:val="clear" w:color="auto" w:fill="auto"/>
            <w:noWrap/>
            <w:vAlign w:val="bottom"/>
            <w:hideMark/>
          </w:tcPr>
          <w:p w14:paraId="6B4ABF15"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0.907</w:t>
            </w:r>
          </w:p>
        </w:tc>
        <w:tc>
          <w:tcPr>
            <w:tcW w:w="880" w:type="dxa"/>
            <w:tcBorders>
              <w:top w:val="nil"/>
              <w:left w:val="nil"/>
              <w:bottom w:val="nil"/>
              <w:right w:val="nil"/>
            </w:tcBorders>
            <w:shd w:val="clear" w:color="auto" w:fill="auto"/>
            <w:noWrap/>
            <w:vAlign w:val="bottom"/>
            <w:hideMark/>
          </w:tcPr>
          <w:p w14:paraId="2D916E15"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&lt; 0.05</w:t>
            </w:r>
          </w:p>
        </w:tc>
        <w:tc>
          <w:tcPr>
            <w:tcW w:w="160" w:type="dxa"/>
            <w:tcBorders>
              <w:top w:val="nil"/>
              <w:left w:val="nil"/>
              <w:bottom w:val="nil"/>
              <w:right w:val="nil"/>
            </w:tcBorders>
            <w:shd w:val="clear" w:color="auto" w:fill="auto"/>
            <w:noWrap/>
            <w:vAlign w:val="bottom"/>
            <w:hideMark/>
          </w:tcPr>
          <w:p w14:paraId="3F38F35F" w14:textId="77777777" w:rsidR="00060E13" w:rsidRPr="00652C1F" w:rsidRDefault="00060E13" w:rsidP="00ED13B7">
            <w:pPr>
              <w:jc w:val="center"/>
              <w:rPr>
                <w:rFonts w:ascii="Palatino Linotype" w:hAnsi="Palatino Linotype"/>
                <w:color w:val="000000"/>
                <w:sz w:val="16"/>
                <w:szCs w:val="16"/>
              </w:rPr>
            </w:pPr>
          </w:p>
        </w:tc>
        <w:tc>
          <w:tcPr>
            <w:tcW w:w="880" w:type="dxa"/>
            <w:tcBorders>
              <w:top w:val="nil"/>
              <w:left w:val="nil"/>
              <w:bottom w:val="nil"/>
              <w:right w:val="nil"/>
            </w:tcBorders>
            <w:shd w:val="clear" w:color="auto" w:fill="auto"/>
            <w:noWrap/>
            <w:vAlign w:val="bottom"/>
            <w:hideMark/>
          </w:tcPr>
          <w:p w14:paraId="06DD51E4"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(0.0; 1)</w:t>
            </w:r>
          </w:p>
        </w:tc>
        <w:tc>
          <w:tcPr>
            <w:tcW w:w="880" w:type="dxa"/>
            <w:tcBorders>
              <w:top w:val="nil"/>
              <w:left w:val="nil"/>
              <w:bottom w:val="nil"/>
              <w:right w:val="nil"/>
            </w:tcBorders>
            <w:shd w:val="clear" w:color="auto" w:fill="auto"/>
            <w:noWrap/>
            <w:vAlign w:val="bottom"/>
            <w:hideMark/>
          </w:tcPr>
          <w:p w14:paraId="739B4B27"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(0.0; -0.2)</w:t>
            </w:r>
          </w:p>
        </w:tc>
      </w:tr>
      <w:tr w:rsidR="00060E13" w:rsidRPr="00652C1F" w14:paraId="3ABC8B3A" w14:textId="77777777" w:rsidTr="00ED13B7">
        <w:trPr>
          <w:trHeight w:val="220"/>
        </w:trPr>
        <w:tc>
          <w:tcPr>
            <w:tcW w:w="1480" w:type="dxa"/>
            <w:tcBorders>
              <w:top w:val="nil"/>
              <w:left w:val="nil"/>
              <w:bottom w:val="nil"/>
              <w:right w:val="nil"/>
            </w:tcBorders>
            <w:shd w:val="clear" w:color="auto" w:fill="auto"/>
            <w:noWrap/>
            <w:vAlign w:val="bottom"/>
            <w:hideMark/>
          </w:tcPr>
          <w:p w14:paraId="1A006F56" w14:textId="77777777" w:rsidR="00060E13" w:rsidRPr="00652C1F" w:rsidRDefault="00060E13" w:rsidP="00ED13B7">
            <w:pPr>
              <w:rPr>
                <w:rFonts w:ascii="Palatino Linotype" w:hAnsi="Palatino Linotype"/>
                <w:color w:val="000000"/>
                <w:sz w:val="16"/>
                <w:szCs w:val="16"/>
              </w:rPr>
            </w:pPr>
            <w:r w:rsidRPr="00652C1F">
              <w:rPr>
                <w:rFonts w:ascii="Palatino Linotype" w:hAnsi="Palatino Linotype"/>
                <w:color w:val="000000"/>
                <w:sz w:val="16"/>
                <w:szCs w:val="16"/>
              </w:rPr>
              <w:t>Neg</w:t>
            </w:r>
          </w:p>
        </w:tc>
        <w:tc>
          <w:tcPr>
            <w:tcW w:w="880" w:type="dxa"/>
            <w:tcBorders>
              <w:top w:val="nil"/>
              <w:left w:val="nil"/>
              <w:bottom w:val="nil"/>
              <w:right w:val="nil"/>
            </w:tcBorders>
            <w:shd w:val="clear" w:color="auto" w:fill="auto"/>
            <w:noWrap/>
            <w:vAlign w:val="bottom"/>
            <w:hideMark/>
          </w:tcPr>
          <w:p w14:paraId="1DBC03B8" w14:textId="77777777" w:rsidR="00060E13" w:rsidRPr="00652C1F" w:rsidRDefault="00060E13" w:rsidP="00ED13B7">
            <w:pPr>
              <w:rPr>
                <w:rFonts w:ascii="Palatino Linotype" w:hAnsi="Palatino Linotype"/>
                <w:color w:val="000000"/>
                <w:sz w:val="16"/>
                <w:szCs w:val="16"/>
              </w:rPr>
            </w:pPr>
            <w:r w:rsidRPr="00652C1F">
              <w:rPr>
                <w:rFonts w:ascii="Palatino Linotype" w:hAnsi="Palatino Linotype"/>
                <w:color w:val="000000"/>
                <w:sz w:val="16"/>
                <w:szCs w:val="16"/>
              </w:rPr>
              <w:t>Roots</w:t>
            </w:r>
          </w:p>
        </w:tc>
        <w:tc>
          <w:tcPr>
            <w:tcW w:w="500" w:type="dxa"/>
            <w:tcBorders>
              <w:top w:val="nil"/>
              <w:left w:val="nil"/>
              <w:bottom w:val="nil"/>
              <w:right w:val="nil"/>
            </w:tcBorders>
            <w:shd w:val="clear" w:color="auto" w:fill="auto"/>
            <w:noWrap/>
            <w:vAlign w:val="bottom"/>
            <w:hideMark/>
          </w:tcPr>
          <w:p w14:paraId="50E77CA4"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1</w:t>
            </w:r>
          </w:p>
        </w:tc>
        <w:tc>
          <w:tcPr>
            <w:tcW w:w="1300" w:type="dxa"/>
            <w:tcBorders>
              <w:top w:val="nil"/>
              <w:left w:val="nil"/>
              <w:bottom w:val="nil"/>
              <w:right w:val="nil"/>
            </w:tcBorders>
            <w:shd w:val="clear" w:color="auto" w:fill="auto"/>
            <w:noWrap/>
            <w:vAlign w:val="bottom"/>
            <w:hideMark/>
          </w:tcPr>
          <w:p w14:paraId="5BA56E67"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1 + 3 + 0</w:t>
            </w:r>
          </w:p>
        </w:tc>
        <w:tc>
          <w:tcPr>
            <w:tcW w:w="880" w:type="dxa"/>
            <w:tcBorders>
              <w:top w:val="nil"/>
              <w:left w:val="nil"/>
              <w:bottom w:val="nil"/>
              <w:right w:val="nil"/>
            </w:tcBorders>
            <w:shd w:val="clear" w:color="auto" w:fill="auto"/>
            <w:noWrap/>
            <w:vAlign w:val="bottom"/>
            <w:hideMark/>
          </w:tcPr>
          <w:p w14:paraId="7489428D"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0.73</w:t>
            </w:r>
          </w:p>
        </w:tc>
        <w:tc>
          <w:tcPr>
            <w:tcW w:w="880" w:type="dxa"/>
            <w:tcBorders>
              <w:top w:val="nil"/>
              <w:left w:val="nil"/>
              <w:bottom w:val="nil"/>
              <w:right w:val="nil"/>
            </w:tcBorders>
            <w:shd w:val="clear" w:color="auto" w:fill="auto"/>
            <w:noWrap/>
            <w:vAlign w:val="bottom"/>
            <w:hideMark/>
          </w:tcPr>
          <w:p w14:paraId="50CB12F5"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0.979</w:t>
            </w:r>
          </w:p>
        </w:tc>
        <w:tc>
          <w:tcPr>
            <w:tcW w:w="880" w:type="dxa"/>
            <w:tcBorders>
              <w:top w:val="nil"/>
              <w:left w:val="nil"/>
              <w:bottom w:val="nil"/>
              <w:right w:val="nil"/>
            </w:tcBorders>
            <w:shd w:val="clear" w:color="auto" w:fill="auto"/>
            <w:noWrap/>
            <w:vAlign w:val="bottom"/>
            <w:hideMark/>
          </w:tcPr>
          <w:p w14:paraId="19A32509"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&lt; 0.05</w:t>
            </w:r>
          </w:p>
        </w:tc>
        <w:tc>
          <w:tcPr>
            <w:tcW w:w="160" w:type="dxa"/>
            <w:tcBorders>
              <w:top w:val="nil"/>
              <w:left w:val="nil"/>
              <w:bottom w:val="nil"/>
              <w:right w:val="nil"/>
            </w:tcBorders>
            <w:shd w:val="clear" w:color="auto" w:fill="auto"/>
            <w:noWrap/>
            <w:vAlign w:val="bottom"/>
            <w:hideMark/>
          </w:tcPr>
          <w:p w14:paraId="22D0908E" w14:textId="77777777" w:rsidR="00060E13" w:rsidRPr="00652C1F" w:rsidRDefault="00060E13" w:rsidP="00ED13B7">
            <w:pPr>
              <w:jc w:val="center"/>
              <w:rPr>
                <w:rFonts w:ascii="Palatino Linotype" w:hAnsi="Palatino Linotype"/>
                <w:color w:val="000000"/>
                <w:sz w:val="16"/>
                <w:szCs w:val="16"/>
              </w:rPr>
            </w:pPr>
          </w:p>
        </w:tc>
        <w:tc>
          <w:tcPr>
            <w:tcW w:w="880" w:type="dxa"/>
            <w:tcBorders>
              <w:top w:val="nil"/>
              <w:left w:val="nil"/>
              <w:bottom w:val="nil"/>
              <w:right w:val="nil"/>
            </w:tcBorders>
            <w:shd w:val="clear" w:color="auto" w:fill="auto"/>
            <w:noWrap/>
            <w:vAlign w:val="bottom"/>
            <w:hideMark/>
          </w:tcPr>
          <w:p w14:paraId="36465999"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(0.0; 1)</w:t>
            </w:r>
          </w:p>
        </w:tc>
        <w:tc>
          <w:tcPr>
            <w:tcW w:w="880" w:type="dxa"/>
            <w:tcBorders>
              <w:top w:val="nil"/>
              <w:left w:val="nil"/>
              <w:bottom w:val="nil"/>
              <w:right w:val="nil"/>
            </w:tcBorders>
            <w:shd w:val="clear" w:color="auto" w:fill="auto"/>
            <w:noWrap/>
            <w:vAlign w:val="bottom"/>
            <w:hideMark/>
          </w:tcPr>
          <w:p w14:paraId="43E81D65"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(0.0; -0.4)</w:t>
            </w:r>
          </w:p>
        </w:tc>
      </w:tr>
      <w:tr w:rsidR="00060E13" w:rsidRPr="00652C1F" w14:paraId="64FEC1EA" w14:textId="77777777" w:rsidTr="00ED13B7">
        <w:trPr>
          <w:trHeight w:val="220"/>
        </w:trPr>
        <w:tc>
          <w:tcPr>
            <w:tcW w:w="1480" w:type="dxa"/>
            <w:tcBorders>
              <w:top w:val="nil"/>
              <w:left w:val="nil"/>
              <w:bottom w:val="nil"/>
              <w:right w:val="nil"/>
            </w:tcBorders>
            <w:shd w:val="clear" w:color="auto" w:fill="auto"/>
            <w:noWrap/>
            <w:vAlign w:val="bottom"/>
            <w:hideMark/>
          </w:tcPr>
          <w:p w14:paraId="6E35FA3F" w14:textId="77777777" w:rsidR="00060E13" w:rsidRPr="00652C1F" w:rsidRDefault="00060E13" w:rsidP="00ED13B7">
            <w:pPr>
              <w:rPr>
                <w:rFonts w:ascii="Palatino Linotype" w:hAnsi="Palatino Linotype"/>
                <w:color w:val="000000"/>
                <w:sz w:val="16"/>
                <w:szCs w:val="16"/>
              </w:rPr>
            </w:pPr>
            <w:r w:rsidRPr="00652C1F">
              <w:rPr>
                <w:rFonts w:ascii="Palatino Linotype" w:hAnsi="Palatino Linotype"/>
                <w:color w:val="000000"/>
                <w:sz w:val="16"/>
                <w:szCs w:val="16"/>
              </w:rPr>
              <w:t>Neg</w:t>
            </w:r>
          </w:p>
        </w:tc>
        <w:tc>
          <w:tcPr>
            <w:tcW w:w="880" w:type="dxa"/>
            <w:tcBorders>
              <w:top w:val="nil"/>
              <w:left w:val="nil"/>
              <w:bottom w:val="nil"/>
              <w:right w:val="nil"/>
            </w:tcBorders>
            <w:shd w:val="clear" w:color="auto" w:fill="auto"/>
            <w:noWrap/>
            <w:vAlign w:val="bottom"/>
            <w:hideMark/>
          </w:tcPr>
          <w:p w14:paraId="27CE3C59" w14:textId="77777777" w:rsidR="00060E13" w:rsidRPr="00652C1F" w:rsidRDefault="00060E13" w:rsidP="00ED13B7">
            <w:pPr>
              <w:rPr>
                <w:rFonts w:ascii="Palatino Linotype" w:hAnsi="Palatino Linotype"/>
                <w:color w:val="000000"/>
                <w:sz w:val="16"/>
                <w:szCs w:val="16"/>
              </w:rPr>
            </w:pPr>
            <w:r w:rsidRPr="00652C1F">
              <w:rPr>
                <w:rFonts w:ascii="Palatino Linotype" w:hAnsi="Palatino Linotype"/>
                <w:color w:val="000000"/>
                <w:sz w:val="16"/>
                <w:szCs w:val="16"/>
              </w:rPr>
              <w:t>Roots</w:t>
            </w:r>
          </w:p>
        </w:tc>
        <w:tc>
          <w:tcPr>
            <w:tcW w:w="500" w:type="dxa"/>
            <w:tcBorders>
              <w:top w:val="nil"/>
              <w:left w:val="nil"/>
              <w:bottom w:val="nil"/>
              <w:right w:val="nil"/>
            </w:tcBorders>
            <w:shd w:val="clear" w:color="auto" w:fill="auto"/>
            <w:noWrap/>
            <w:vAlign w:val="bottom"/>
            <w:hideMark/>
          </w:tcPr>
          <w:p w14:paraId="2DEDE6BE"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4</w:t>
            </w:r>
          </w:p>
        </w:tc>
        <w:tc>
          <w:tcPr>
            <w:tcW w:w="1300" w:type="dxa"/>
            <w:tcBorders>
              <w:top w:val="nil"/>
              <w:left w:val="nil"/>
              <w:bottom w:val="nil"/>
              <w:right w:val="nil"/>
            </w:tcBorders>
            <w:shd w:val="clear" w:color="auto" w:fill="auto"/>
            <w:noWrap/>
            <w:vAlign w:val="bottom"/>
            <w:hideMark/>
          </w:tcPr>
          <w:p w14:paraId="1AB9DAA5"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1 + 3 + 0</w:t>
            </w:r>
          </w:p>
        </w:tc>
        <w:tc>
          <w:tcPr>
            <w:tcW w:w="880" w:type="dxa"/>
            <w:tcBorders>
              <w:top w:val="nil"/>
              <w:left w:val="nil"/>
              <w:bottom w:val="nil"/>
              <w:right w:val="nil"/>
            </w:tcBorders>
            <w:shd w:val="clear" w:color="auto" w:fill="auto"/>
            <w:noWrap/>
            <w:vAlign w:val="bottom"/>
            <w:hideMark/>
          </w:tcPr>
          <w:p w14:paraId="6705BAB0"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0.639</w:t>
            </w:r>
          </w:p>
        </w:tc>
        <w:tc>
          <w:tcPr>
            <w:tcW w:w="880" w:type="dxa"/>
            <w:tcBorders>
              <w:top w:val="nil"/>
              <w:left w:val="nil"/>
              <w:bottom w:val="nil"/>
              <w:right w:val="nil"/>
            </w:tcBorders>
            <w:shd w:val="clear" w:color="auto" w:fill="auto"/>
            <w:noWrap/>
            <w:vAlign w:val="bottom"/>
            <w:hideMark/>
          </w:tcPr>
          <w:p w14:paraId="61D7EE77"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0.96</w:t>
            </w:r>
            <w:r>
              <w:rPr>
                <w:rFonts w:ascii="Palatino Linotype" w:hAnsi="Palatino Linotype"/>
                <w:color w:val="000000"/>
                <w:sz w:val="16"/>
                <w:szCs w:val="16"/>
              </w:rPr>
              <w:t>0</w:t>
            </w:r>
          </w:p>
        </w:tc>
        <w:tc>
          <w:tcPr>
            <w:tcW w:w="880" w:type="dxa"/>
            <w:tcBorders>
              <w:top w:val="nil"/>
              <w:left w:val="nil"/>
              <w:bottom w:val="nil"/>
              <w:right w:val="nil"/>
            </w:tcBorders>
            <w:shd w:val="clear" w:color="auto" w:fill="auto"/>
            <w:noWrap/>
            <w:vAlign w:val="bottom"/>
            <w:hideMark/>
          </w:tcPr>
          <w:p w14:paraId="33E44717"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&lt; 0.05</w:t>
            </w:r>
          </w:p>
        </w:tc>
        <w:tc>
          <w:tcPr>
            <w:tcW w:w="160" w:type="dxa"/>
            <w:tcBorders>
              <w:top w:val="nil"/>
              <w:left w:val="nil"/>
              <w:bottom w:val="nil"/>
              <w:right w:val="nil"/>
            </w:tcBorders>
            <w:shd w:val="clear" w:color="auto" w:fill="auto"/>
            <w:noWrap/>
            <w:vAlign w:val="bottom"/>
            <w:hideMark/>
          </w:tcPr>
          <w:p w14:paraId="5787FA7F" w14:textId="77777777" w:rsidR="00060E13" w:rsidRPr="00652C1F" w:rsidRDefault="00060E13" w:rsidP="00ED13B7">
            <w:pPr>
              <w:jc w:val="center"/>
              <w:rPr>
                <w:rFonts w:ascii="Palatino Linotype" w:hAnsi="Palatino Linotype"/>
                <w:color w:val="000000"/>
                <w:sz w:val="16"/>
                <w:szCs w:val="16"/>
              </w:rPr>
            </w:pPr>
          </w:p>
        </w:tc>
        <w:tc>
          <w:tcPr>
            <w:tcW w:w="880" w:type="dxa"/>
            <w:tcBorders>
              <w:top w:val="nil"/>
              <w:left w:val="nil"/>
              <w:bottom w:val="nil"/>
              <w:right w:val="nil"/>
            </w:tcBorders>
            <w:shd w:val="clear" w:color="auto" w:fill="auto"/>
            <w:noWrap/>
            <w:vAlign w:val="bottom"/>
            <w:hideMark/>
          </w:tcPr>
          <w:p w14:paraId="16A1BC5F"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(0.0; 1)</w:t>
            </w:r>
          </w:p>
        </w:tc>
        <w:tc>
          <w:tcPr>
            <w:tcW w:w="880" w:type="dxa"/>
            <w:tcBorders>
              <w:top w:val="nil"/>
              <w:left w:val="nil"/>
              <w:bottom w:val="nil"/>
              <w:right w:val="nil"/>
            </w:tcBorders>
            <w:shd w:val="clear" w:color="auto" w:fill="auto"/>
            <w:noWrap/>
            <w:vAlign w:val="bottom"/>
            <w:hideMark/>
          </w:tcPr>
          <w:p w14:paraId="55C44102"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(0.0; -0.4)</w:t>
            </w:r>
          </w:p>
        </w:tc>
      </w:tr>
      <w:tr w:rsidR="00060E13" w:rsidRPr="00652C1F" w14:paraId="7A6BCEBE" w14:textId="77777777" w:rsidTr="00ED13B7">
        <w:trPr>
          <w:trHeight w:val="220"/>
        </w:trPr>
        <w:tc>
          <w:tcPr>
            <w:tcW w:w="1480" w:type="dxa"/>
            <w:tcBorders>
              <w:top w:val="nil"/>
              <w:left w:val="nil"/>
              <w:bottom w:val="nil"/>
              <w:right w:val="nil"/>
            </w:tcBorders>
            <w:shd w:val="clear" w:color="auto" w:fill="auto"/>
            <w:noWrap/>
            <w:vAlign w:val="bottom"/>
            <w:hideMark/>
          </w:tcPr>
          <w:p w14:paraId="1C622632" w14:textId="77777777" w:rsidR="00060E13" w:rsidRPr="00652C1F" w:rsidRDefault="00060E13" w:rsidP="00ED13B7">
            <w:pPr>
              <w:rPr>
                <w:rFonts w:ascii="Palatino Linotype" w:hAnsi="Palatino Linotype"/>
                <w:color w:val="000000"/>
                <w:sz w:val="16"/>
                <w:szCs w:val="16"/>
              </w:rPr>
            </w:pPr>
            <w:r w:rsidRPr="00652C1F">
              <w:rPr>
                <w:rFonts w:ascii="Palatino Linotype" w:hAnsi="Palatino Linotype"/>
                <w:color w:val="000000"/>
                <w:sz w:val="16"/>
                <w:szCs w:val="16"/>
              </w:rPr>
              <w:t>Neg</w:t>
            </w:r>
          </w:p>
        </w:tc>
        <w:tc>
          <w:tcPr>
            <w:tcW w:w="880" w:type="dxa"/>
            <w:tcBorders>
              <w:top w:val="nil"/>
              <w:left w:val="nil"/>
              <w:bottom w:val="nil"/>
              <w:right w:val="nil"/>
            </w:tcBorders>
            <w:shd w:val="clear" w:color="auto" w:fill="auto"/>
            <w:noWrap/>
            <w:vAlign w:val="bottom"/>
            <w:hideMark/>
          </w:tcPr>
          <w:p w14:paraId="7C600D20" w14:textId="77777777" w:rsidR="00060E13" w:rsidRPr="00652C1F" w:rsidRDefault="00060E13" w:rsidP="00ED13B7">
            <w:pPr>
              <w:rPr>
                <w:rFonts w:ascii="Palatino Linotype" w:hAnsi="Palatino Linotype"/>
                <w:color w:val="000000"/>
                <w:sz w:val="16"/>
                <w:szCs w:val="16"/>
              </w:rPr>
            </w:pPr>
            <w:r w:rsidRPr="00652C1F">
              <w:rPr>
                <w:rFonts w:ascii="Palatino Linotype" w:hAnsi="Palatino Linotype"/>
                <w:color w:val="000000"/>
                <w:sz w:val="16"/>
                <w:szCs w:val="16"/>
              </w:rPr>
              <w:t>Roots</w:t>
            </w:r>
          </w:p>
        </w:tc>
        <w:tc>
          <w:tcPr>
            <w:tcW w:w="500" w:type="dxa"/>
            <w:tcBorders>
              <w:top w:val="nil"/>
              <w:left w:val="nil"/>
              <w:bottom w:val="nil"/>
              <w:right w:val="nil"/>
            </w:tcBorders>
            <w:shd w:val="clear" w:color="auto" w:fill="auto"/>
            <w:noWrap/>
            <w:vAlign w:val="bottom"/>
            <w:hideMark/>
          </w:tcPr>
          <w:p w14:paraId="0BE470FA"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7</w:t>
            </w:r>
          </w:p>
        </w:tc>
        <w:tc>
          <w:tcPr>
            <w:tcW w:w="1300" w:type="dxa"/>
            <w:tcBorders>
              <w:top w:val="nil"/>
              <w:left w:val="nil"/>
              <w:bottom w:val="nil"/>
              <w:right w:val="nil"/>
            </w:tcBorders>
            <w:shd w:val="clear" w:color="auto" w:fill="auto"/>
            <w:noWrap/>
            <w:vAlign w:val="bottom"/>
            <w:hideMark/>
          </w:tcPr>
          <w:p w14:paraId="55CECD1C"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1 + 6 + 0</w:t>
            </w:r>
          </w:p>
        </w:tc>
        <w:tc>
          <w:tcPr>
            <w:tcW w:w="880" w:type="dxa"/>
            <w:tcBorders>
              <w:top w:val="nil"/>
              <w:left w:val="nil"/>
              <w:bottom w:val="nil"/>
              <w:right w:val="nil"/>
            </w:tcBorders>
            <w:shd w:val="clear" w:color="auto" w:fill="auto"/>
            <w:noWrap/>
            <w:vAlign w:val="bottom"/>
            <w:hideMark/>
          </w:tcPr>
          <w:p w14:paraId="799F7E0A"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0.721</w:t>
            </w:r>
          </w:p>
        </w:tc>
        <w:tc>
          <w:tcPr>
            <w:tcW w:w="880" w:type="dxa"/>
            <w:tcBorders>
              <w:top w:val="nil"/>
              <w:left w:val="nil"/>
              <w:bottom w:val="nil"/>
              <w:right w:val="nil"/>
            </w:tcBorders>
            <w:shd w:val="clear" w:color="auto" w:fill="auto"/>
            <w:noWrap/>
            <w:vAlign w:val="bottom"/>
            <w:hideMark/>
          </w:tcPr>
          <w:p w14:paraId="76B341C9"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0.944</w:t>
            </w:r>
          </w:p>
        </w:tc>
        <w:tc>
          <w:tcPr>
            <w:tcW w:w="880" w:type="dxa"/>
            <w:tcBorders>
              <w:top w:val="nil"/>
              <w:left w:val="nil"/>
              <w:bottom w:val="nil"/>
              <w:right w:val="nil"/>
            </w:tcBorders>
            <w:shd w:val="clear" w:color="auto" w:fill="auto"/>
            <w:noWrap/>
            <w:vAlign w:val="bottom"/>
            <w:hideMark/>
          </w:tcPr>
          <w:p w14:paraId="55EFBB79"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&lt; 0.05</w:t>
            </w:r>
          </w:p>
        </w:tc>
        <w:tc>
          <w:tcPr>
            <w:tcW w:w="160" w:type="dxa"/>
            <w:tcBorders>
              <w:top w:val="nil"/>
              <w:left w:val="nil"/>
              <w:bottom w:val="nil"/>
              <w:right w:val="nil"/>
            </w:tcBorders>
            <w:shd w:val="clear" w:color="auto" w:fill="auto"/>
            <w:noWrap/>
            <w:vAlign w:val="bottom"/>
            <w:hideMark/>
          </w:tcPr>
          <w:p w14:paraId="68F7E9BF" w14:textId="77777777" w:rsidR="00060E13" w:rsidRPr="00652C1F" w:rsidRDefault="00060E13" w:rsidP="00ED13B7">
            <w:pPr>
              <w:jc w:val="center"/>
              <w:rPr>
                <w:rFonts w:ascii="Palatino Linotype" w:hAnsi="Palatino Linotype"/>
                <w:color w:val="000000"/>
                <w:sz w:val="16"/>
                <w:szCs w:val="16"/>
              </w:rPr>
            </w:pPr>
          </w:p>
        </w:tc>
        <w:tc>
          <w:tcPr>
            <w:tcW w:w="880" w:type="dxa"/>
            <w:tcBorders>
              <w:top w:val="nil"/>
              <w:left w:val="nil"/>
              <w:bottom w:val="nil"/>
              <w:right w:val="nil"/>
            </w:tcBorders>
            <w:shd w:val="clear" w:color="auto" w:fill="auto"/>
            <w:noWrap/>
            <w:vAlign w:val="bottom"/>
            <w:hideMark/>
          </w:tcPr>
          <w:p w14:paraId="09CF2798"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(0.0; 1)</w:t>
            </w:r>
          </w:p>
        </w:tc>
        <w:tc>
          <w:tcPr>
            <w:tcW w:w="880" w:type="dxa"/>
            <w:tcBorders>
              <w:top w:val="nil"/>
              <w:left w:val="nil"/>
              <w:bottom w:val="nil"/>
              <w:right w:val="nil"/>
            </w:tcBorders>
            <w:shd w:val="clear" w:color="auto" w:fill="auto"/>
            <w:noWrap/>
            <w:vAlign w:val="bottom"/>
            <w:hideMark/>
          </w:tcPr>
          <w:p w14:paraId="6B2EB893"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(0.0; -0.2)</w:t>
            </w:r>
          </w:p>
        </w:tc>
      </w:tr>
      <w:tr w:rsidR="00060E13" w:rsidRPr="00652C1F" w14:paraId="03FCBBDC" w14:textId="77777777" w:rsidTr="00ED13B7">
        <w:trPr>
          <w:trHeight w:val="220"/>
        </w:trPr>
        <w:tc>
          <w:tcPr>
            <w:tcW w:w="1480" w:type="dxa"/>
            <w:tcBorders>
              <w:top w:val="nil"/>
              <w:left w:val="nil"/>
              <w:bottom w:val="nil"/>
              <w:right w:val="nil"/>
            </w:tcBorders>
            <w:shd w:val="clear" w:color="auto" w:fill="auto"/>
            <w:noWrap/>
            <w:vAlign w:val="bottom"/>
            <w:hideMark/>
          </w:tcPr>
          <w:p w14:paraId="14E74C3B" w14:textId="77777777" w:rsidR="00060E13" w:rsidRPr="00652C1F" w:rsidRDefault="00060E13" w:rsidP="00ED13B7">
            <w:pPr>
              <w:rPr>
                <w:rFonts w:ascii="Palatino Linotype" w:hAnsi="Palatino Linotype"/>
                <w:color w:val="000000"/>
                <w:sz w:val="16"/>
                <w:szCs w:val="16"/>
              </w:rPr>
            </w:pPr>
            <w:r w:rsidRPr="00652C1F">
              <w:rPr>
                <w:rFonts w:ascii="Palatino Linotype" w:hAnsi="Palatino Linotype"/>
                <w:color w:val="000000"/>
                <w:sz w:val="16"/>
                <w:szCs w:val="16"/>
              </w:rPr>
              <w:t>Pos</w:t>
            </w:r>
          </w:p>
        </w:tc>
        <w:tc>
          <w:tcPr>
            <w:tcW w:w="880" w:type="dxa"/>
            <w:tcBorders>
              <w:top w:val="nil"/>
              <w:left w:val="nil"/>
              <w:bottom w:val="nil"/>
              <w:right w:val="nil"/>
            </w:tcBorders>
            <w:shd w:val="clear" w:color="auto" w:fill="auto"/>
            <w:noWrap/>
            <w:vAlign w:val="bottom"/>
            <w:hideMark/>
          </w:tcPr>
          <w:p w14:paraId="08643AFE" w14:textId="77777777" w:rsidR="00060E13" w:rsidRPr="00652C1F" w:rsidRDefault="00060E13" w:rsidP="00ED13B7">
            <w:pPr>
              <w:rPr>
                <w:rFonts w:ascii="Palatino Linotype" w:hAnsi="Palatino Linotype"/>
                <w:color w:val="000000"/>
                <w:sz w:val="16"/>
                <w:szCs w:val="16"/>
              </w:rPr>
            </w:pPr>
            <w:r w:rsidRPr="00652C1F">
              <w:rPr>
                <w:rFonts w:ascii="Palatino Linotype" w:hAnsi="Palatino Linotype"/>
                <w:color w:val="000000"/>
                <w:sz w:val="16"/>
                <w:szCs w:val="16"/>
              </w:rPr>
              <w:t>Roots</w:t>
            </w:r>
          </w:p>
        </w:tc>
        <w:tc>
          <w:tcPr>
            <w:tcW w:w="500" w:type="dxa"/>
            <w:tcBorders>
              <w:top w:val="nil"/>
              <w:left w:val="nil"/>
              <w:bottom w:val="nil"/>
              <w:right w:val="nil"/>
            </w:tcBorders>
            <w:shd w:val="clear" w:color="auto" w:fill="auto"/>
            <w:noWrap/>
            <w:vAlign w:val="bottom"/>
            <w:hideMark/>
          </w:tcPr>
          <w:p w14:paraId="0837E7A9"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1</w:t>
            </w:r>
          </w:p>
        </w:tc>
        <w:tc>
          <w:tcPr>
            <w:tcW w:w="1300" w:type="dxa"/>
            <w:tcBorders>
              <w:top w:val="nil"/>
              <w:left w:val="nil"/>
              <w:bottom w:val="nil"/>
              <w:right w:val="nil"/>
            </w:tcBorders>
            <w:shd w:val="clear" w:color="auto" w:fill="auto"/>
            <w:noWrap/>
            <w:vAlign w:val="bottom"/>
            <w:hideMark/>
          </w:tcPr>
          <w:p w14:paraId="63BEF983"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1 + 2 + 0</w:t>
            </w:r>
          </w:p>
        </w:tc>
        <w:tc>
          <w:tcPr>
            <w:tcW w:w="880" w:type="dxa"/>
            <w:tcBorders>
              <w:top w:val="nil"/>
              <w:left w:val="nil"/>
              <w:bottom w:val="nil"/>
              <w:right w:val="nil"/>
            </w:tcBorders>
            <w:shd w:val="clear" w:color="auto" w:fill="auto"/>
            <w:noWrap/>
            <w:vAlign w:val="bottom"/>
            <w:hideMark/>
          </w:tcPr>
          <w:p w14:paraId="3076FC7E"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0.63</w:t>
            </w:r>
            <w:r>
              <w:rPr>
                <w:rFonts w:ascii="Palatino Linotype" w:hAnsi="Palatino Linotype"/>
                <w:color w:val="000000"/>
                <w:sz w:val="16"/>
                <w:szCs w:val="16"/>
              </w:rPr>
              <w:t>0</w:t>
            </w:r>
          </w:p>
        </w:tc>
        <w:tc>
          <w:tcPr>
            <w:tcW w:w="880" w:type="dxa"/>
            <w:tcBorders>
              <w:top w:val="nil"/>
              <w:left w:val="nil"/>
              <w:bottom w:val="nil"/>
              <w:right w:val="nil"/>
            </w:tcBorders>
            <w:shd w:val="clear" w:color="auto" w:fill="auto"/>
            <w:noWrap/>
            <w:vAlign w:val="bottom"/>
            <w:hideMark/>
          </w:tcPr>
          <w:p w14:paraId="5FC148CF"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0.98</w:t>
            </w:r>
            <w:r>
              <w:rPr>
                <w:rFonts w:ascii="Palatino Linotype" w:hAnsi="Palatino Linotype"/>
                <w:color w:val="000000"/>
                <w:sz w:val="16"/>
                <w:szCs w:val="16"/>
              </w:rPr>
              <w:t>0</w:t>
            </w:r>
          </w:p>
        </w:tc>
        <w:tc>
          <w:tcPr>
            <w:tcW w:w="880" w:type="dxa"/>
            <w:tcBorders>
              <w:top w:val="nil"/>
              <w:left w:val="nil"/>
              <w:bottom w:val="nil"/>
              <w:right w:val="nil"/>
            </w:tcBorders>
            <w:shd w:val="clear" w:color="auto" w:fill="auto"/>
            <w:noWrap/>
            <w:vAlign w:val="bottom"/>
            <w:hideMark/>
          </w:tcPr>
          <w:p w14:paraId="151321A4"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&lt; 0.05</w:t>
            </w:r>
          </w:p>
        </w:tc>
        <w:tc>
          <w:tcPr>
            <w:tcW w:w="160" w:type="dxa"/>
            <w:tcBorders>
              <w:top w:val="nil"/>
              <w:left w:val="nil"/>
              <w:bottom w:val="nil"/>
              <w:right w:val="nil"/>
            </w:tcBorders>
            <w:shd w:val="clear" w:color="auto" w:fill="auto"/>
            <w:noWrap/>
            <w:vAlign w:val="bottom"/>
            <w:hideMark/>
          </w:tcPr>
          <w:p w14:paraId="19FE4E66" w14:textId="77777777" w:rsidR="00060E13" w:rsidRPr="00652C1F" w:rsidRDefault="00060E13" w:rsidP="00ED13B7">
            <w:pPr>
              <w:jc w:val="center"/>
              <w:rPr>
                <w:rFonts w:ascii="Palatino Linotype" w:hAnsi="Palatino Linotype"/>
                <w:color w:val="000000"/>
                <w:sz w:val="16"/>
                <w:szCs w:val="16"/>
              </w:rPr>
            </w:pPr>
          </w:p>
        </w:tc>
        <w:tc>
          <w:tcPr>
            <w:tcW w:w="880" w:type="dxa"/>
            <w:tcBorders>
              <w:top w:val="nil"/>
              <w:left w:val="nil"/>
              <w:bottom w:val="nil"/>
              <w:right w:val="nil"/>
            </w:tcBorders>
            <w:shd w:val="clear" w:color="auto" w:fill="auto"/>
            <w:noWrap/>
            <w:vAlign w:val="bottom"/>
            <w:hideMark/>
          </w:tcPr>
          <w:p w14:paraId="4C124CE9" w14:textId="4C7D1493"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 xml:space="preserve">(0.0; </w:t>
            </w:r>
            <w:r w:rsidR="00A742E7">
              <w:rPr>
                <w:rFonts w:ascii="Palatino Linotype" w:hAnsi="Palatino Linotype"/>
                <w:color w:val="000000"/>
                <w:sz w:val="16"/>
                <w:szCs w:val="16"/>
              </w:rPr>
              <w:t>0.9</w:t>
            </w:r>
            <w:r w:rsidRPr="00652C1F">
              <w:rPr>
                <w:rFonts w:ascii="Palatino Linotype" w:hAnsi="Palatino Linotype"/>
                <w:color w:val="000000"/>
                <w:sz w:val="16"/>
                <w:szCs w:val="16"/>
              </w:rPr>
              <w:t>)</w:t>
            </w:r>
          </w:p>
        </w:tc>
        <w:tc>
          <w:tcPr>
            <w:tcW w:w="880" w:type="dxa"/>
            <w:tcBorders>
              <w:top w:val="nil"/>
              <w:left w:val="nil"/>
              <w:bottom w:val="nil"/>
              <w:right w:val="nil"/>
            </w:tcBorders>
            <w:shd w:val="clear" w:color="auto" w:fill="auto"/>
            <w:noWrap/>
            <w:vAlign w:val="bottom"/>
            <w:hideMark/>
          </w:tcPr>
          <w:p w14:paraId="751D66C6"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(0.0; -0.5)</w:t>
            </w:r>
          </w:p>
        </w:tc>
      </w:tr>
      <w:tr w:rsidR="00060E13" w:rsidRPr="00652C1F" w14:paraId="72328D7F" w14:textId="77777777" w:rsidTr="00ED13B7">
        <w:trPr>
          <w:trHeight w:val="220"/>
        </w:trPr>
        <w:tc>
          <w:tcPr>
            <w:tcW w:w="1480" w:type="dxa"/>
            <w:tcBorders>
              <w:top w:val="nil"/>
              <w:left w:val="nil"/>
              <w:bottom w:val="nil"/>
              <w:right w:val="nil"/>
            </w:tcBorders>
            <w:shd w:val="clear" w:color="auto" w:fill="auto"/>
            <w:noWrap/>
            <w:vAlign w:val="bottom"/>
            <w:hideMark/>
          </w:tcPr>
          <w:p w14:paraId="11BF9934" w14:textId="77777777" w:rsidR="00060E13" w:rsidRPr="00652C1F" w:rsidRDefault="00060E13" w:rsidP="00ED13B7">
            <w:pPr>
              <w:rPr>
                <w:rFonts w:ascii="Palatino Linotype" w:hAnsi="Palatino Linotype"/>
                <w:color w:val="000000"/>
                <w:sz w:val="16"/>
                <w:szCs w:val="16"/>
              </w:rPr>
            </w:pPr>
            <w:r w:rsidRPr="00652C1F">
              <w:rPr>
                <w:rFonts w:ascii="Palatino Linotype" w:hAnsi="Palatino Linotype"/>
                <w:color w:val="000000"/>
                <w:sz w:val="16"/>
                <w:szCs w:val="16"/>
              </w:rPr>
              <w:t>Pos</w:t>
            </w:r>
          </w:p>
        </w:tc>
        <w:tc>
          <w:tcPr>
            <w:tcW w:w="880" w:type="dxa"/>
            <w:tcBorders>
              <w:top w:val="nil"/>
              <w:left w:val="nil"/>
              <w:bottom w:val="nil"/>
              <w:right w:val="nil"/>
            </w:tcBorders>
            <w:shd w:val="clear" w:color="auto" w:fill="auto"/>
            <w:noWrap/>
            <w:vAlign w:val="bottom"/>
            <w:hideMark/>
          </w:tcPr>
          <w:p w14:paraId="7E650ECB" w14:textId="77777777" w:rsidR="00060E13" w:rsidRPr="00652C1F" w:rsidRDefault="00060E13" w:rsidP="00ED13B7">
            <w:pPr>
              <w:rPr>
                <w:rFonts w:ascii="Palatino Linotype" w:hAnsi="Palatino Linotype"/>
                <w:color w:val="000000"/>
                <w:sz w:val="16"/>
                <w:szCs w:val="16"/>
              </w:rPr>
            </w:pPr>
            <w:r w:rsidRPr="00652C1F">
              <w:rPr>
                <w:rFonts w:ascii="Palatino Linotype" w:hAnsi="Palatino Linotype"/>
                <w:color w:val="000000"/>
                <w:sz w:val="16"/>
                <w:szCs w:val="16"/>
              </w:rPr>
              <w:t>Roots</w:t>
            </w:r>
          </w:p>
        </w:tc>
        <w:tc>
          <w:tcPr>
            <w:tcW w:w="500" w:type="dxa"/>
            <w:tcBorders>
              <w:top w:val="nil"/>
              <w:left w:val="nil"/>
              <w:bottom w:val="nil"/>
              <w:right w:val="nil"/>
            </w:tcBorders>
            <w:shd w:val="clear" w:color="auto" w:fill="auto"/>
            <w:noWrap/>
            <w:vAlign w:val="bottom"/>
            <w:hideMark/>
          </w:tcPr>
          <w:p w14:paraId="05F576B7"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4</w:t>
            </w:r>
          </w:p>
        </w:tc>
        <w:tc>
          <w:tcPr>
            <w:tcW w:w="1300" w:type="dxa"/>
            <w:tcBorders>
              <w:top w:val="nil"/>
              <w:left w:val="nil"/>
              <w:bottom w:val="nil"/>
              <w:right w:val="nil"/>
            </w:tcBorders>
            <w:shd w:val="clear" w:color="auto" w:fill="auto"/>
            <w:noWrap/>
            <w:vAlign w:val="bottom"/>
            <w:hideMark/>
          </w:tcPr>
          <w:p w14:paraId="34D7EC6D"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1 + 2 + 0</w:t>
            </w:r>
          </w:p>
        </w:tc>
        <w:tc>
          <w:tcPr>
            <w:tcW w:w="880" w:type="dxa"/>
            <w:tcBorders>
              <w:top w:val="nil"/>
              <w:left w:val="nil"/>
              <w:bottom w:val="nil"/>
              <w:right w:val="nil"/>
            </w:tcBorders>
            <w:shd w:val="clear" w:color="auto" w:fill="auto"/>
            <w:noWrap/>
            <w:vAlign w:val="bottom"/>
            <w:hideMark/>
          </w:tcPr>
          <w:p w14:paraId="5A95CFF0"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0.541</w:t>
            </w:r>
          </w:p>
        </w:tc>
        <w:tc>
          <w:tcPr>
            <w:tcW w:w="880" w:type="dxa"/>
            <w:tcBorders>
              <w:top w:val="nil"/>
              <w:left w:val="nil"/>
              <w:bottom w:val="nil"/>
              <w:right w:val="nil"/>
            </w:tcBorders>
            <w:shd w:val="clear" w:color="auto" w:fill="auto"/>
            <w:noWrap/>
            <w:vAlign w:val="bottom"/>
            <w:hideMark/>
          </w:tcPr>
          <w:p w14:paraId="405708D2"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0.957</w:t>
            </w:r>
          </w:p>
        </w:tc>
        <w:tc>
          <w:tcPr>
            <w:tcW w:w="880" w:type="dxa"/>
            <w:tcBorders>
              <w:top w:val="nil"/>
              <w:left w:val="nil"/>
              <w:bottom w:val="nil"/>
              <w:right w:val="nil"/>
            </w:tcBorders>
            <w:shd w:val="clear" w:color="auto" w:fill="auto"/>
            <w:noWrap/>
            <w:vAlign w:val="bottom"/>
            <w:hideMark/>
          </w:tcPr>
          <w:p w14:paraId="65FA49F0"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&lt; 0.05</w:t>
            </w:r>
          </w:p>
        </w:tc>
        <w:tc>
          <w:tcPr>
            <w:tcW w:w="160" w:type="dxa"/>
            <w:tcBorders>
              <w:top w:val="nil"/>
              <w:left w:val="nil"/>
              <w:bottom w:val="nil"/>
              <w:right w:val="nil"/>
            </w:tcBorders>
            <w:shd w:val="clear" w:color="auto" w:fill="auto"/>
            <w:noWrap/>
            <w:vAlign w:val="bottom"/>
            <w:hideMark/>
          </w:tcPr>
          <w:p w14:paraId="4DF35A5F" w14:textId="77777777" w:rsidR="00060E13" w:rsidRPr="00652C1F" w:rsidRDefault="00060E13" w:rsidP="00ED13B7">
            <w:pPr>
              <w:jc w:val="center"/>
              <w:rPr>
                <w:rFonts w:ascii="Palatino Linotype" w:hAnsi="Palatino Linotype"/>
                <w:color w:val="000000"/>
                <w:sz w:val="16"/>
                <w:szCs w:val="16"/>
              </w:rPr>
            </w:pPr>
          </w:p>
        </w:tc>
        <w:tc>
          <w:tcPr>
            <w:tcW w:w="880" w:type="dxa"/>
            <w:tcBorders>
              <w:top w:val="nil"/>
              <w:left w:val="nil"/>
              <w:bottom w:val="nil"/>
              <w:right w:val="nil"/>
            </w:tcBorders>
            <w:shd w:val="clear" w:color="auto" w:fill="auto"/>
            <w:noWrap/>
            <w:vAlign w:val="bottom"/>
            <w:hideMark/>
          </w:tcPr>
          <w:p w14:paraId="0BDED4B8"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(0.0; 1)</w:t>
            </w:r>
          </w:p>
        </w:tc>
        <w:tc>
          <w:tcPr>
            <w:tcW w:w="880" w:type="dxa"/>
            <w:tcBorders>
              <w:top w:val="nil"/>
              <w:left w:val="nil"/>
              <w:bottom w:val="nil"/>
              <w:right w:val="nil"/>
            </w:tcBorders>
            <w:shd w:val="clear" w:color="auto" w:fill="auto"/>
            <w:noWrap/>
            <w:vAlign w:val="bottom"/>
            <w:hideMark/>
          </w:tcPr>
          <w:p w14:paraId="7E934106"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(0.0; -0.4)</w:t>
            </w:r>
          </w:p>
        </w:tc>
      </w:tr>
      <w:tr w:rsidR="00060E13" w:rsidRPr="00652C1F" w14:paraId="699016D5" w14:textId="77777777" w:rsidTr="00ED13B7">
        <w:trPr>
          <w:trHeight w:val="220"/>
        </w:trPr>
        <w:tc>
          <w:tcPr>
            <w:tcW w:w="1480" w:type="dxa"/>
            <w:tcBorders>
              <w:top w:val="nil"/>
              <w:left w:val="nil"/>
              <w:bottom w:val="nil"/>
              <w:right w:val="nil"/>
            </w:tcBorders>
            <w:shd w:val="clear" w:color="auto" w:fill="auto"/>
            <w:noWrap/>
            <w:vAlign w:val="bottom"/>
            <w:hideMark/>
          </w:tcPr>
          <w:p w14:paraId="186B26F8" w14:textId="77777777" w:rsidR="00060E13" w:rsidRPr="00652C1F" w:rsidRDefault="00060E13" w:rsidP="00ED13B7">
            <w:pPr>
              <w:rPr>
                <w:rFonts w:ascii="Palatino Linotype" w:hAnsi="Palatino Linotype"/>
                <w:color w:val="000000"/>
                <w:sz w:val="16"/>
                <w:szCs w:val="16"/>
              </w:rPr>
            </w:pPr>
            <w:r w:rsidRPr="00652C1F">
              <w:rPr>
                <w:rFonts w:ascii="Palatino Linotype" w:hAnsi="Palatino Linotype"/>
                <w:color w:val="000000"/>
                <w:sz w:val="16"/>
                <w:szCs w:val="16"/>
              </w:rPr>
              <w:t>Pos</w:t>
            </w:r>
          </w:p>
        </w:tc>
        <w:tc>
          <w:tcPr>
            <w:tcW w:w="880" w:type="dxa"/>
            <w:tcBorders>
              <w:top w:val="nil"/>
              <w:left w:val="nil"/>
              <w:bottom w:val="nil"/>
              <w:right w:val="nil"/>
            </w:tcBorders>
            <w:shd w:val="clear" w:color="auto" w:fill="auto"/>
            <w:noWrap/>
            <w:vAlign w:val="bottom"/>
            <w:hideMark/>
          </w:tcPr>
          <w:p w14:paraId="61C2A5E0" w14:textId="77777777" w:rsidR="00060E13" w:rsidRPr="00652C1F" w:rsidRDefault="00060E13" w:rsidP="00ED13B7">
            <w:pPr>
              <w:rPr>
                <w:rFonts w:ascii="Palatino Linotype" w:hAnsi="Palatino Linotype"/>
                <w:color w:val="000000"/>
                <w:sz w:val="16"/>
                <w:szCs w:val="16"/>
              </w:rPr>
            </w:pPr>
            <w:r w:rsidRPr="00652C1F">
              <w:rPr>
                <w:rFonts w:ascii="Palatino Linotype" w:hAnsi="Palatino Linotype"/>
                <w:color w:val="000000"/>
                <w:sz w:val="16"/>
                <w:szCs w:val="16"/>
              </w:rPr>
              <w:t>Roots</w:t>
            </w:r>
          </w:p>
        </w:tc>
        <w:tc>
          <w:tcPr>
            <w:tcW w:w="500" w:type="dxa"/>
            <w:tcBorders>
              <w:top w:val="nil"/>
              <w:left w:val="nil"/>
              <w:bottom w:val="nil"/>
              <w:right w:val="nil"/>
            </w:tcBorders>
            <w:shd w:val="clear" w:color="auto" w:fill="auto"/>
            <w:noWrap/>
            <w:vAlign w:val="bottom"/>
            <w:hideMark/>
          </w:tcPr>
          <w:p w14:paraId="03625B8B"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7</w:t>
            </w:r>
          </w:p>
        </w:tc>
        <w:tc>
          <w:tcPr>
            <w:tcW w:w="1300" w:type="dxa"/>
            <w:tcBorders>
              <w:top w:val="nil"/>
              <w:left w:val="nil"/>
              <w:bottom w:val="nil"/>
              <w:right w:val="nil"/>
            </w:tcBorders>
            <w:shd w:val="clear" w:color="auto" w:fill="auto"/>
            <w:noWrap/>
            <w:vAlign w:val="bottom"/>
            <w:hideMark/>
          </w:tcPr>
          <w:p w14:paraId="6F5E9CD0"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1 + 2 + 0</w:t>
            </w:r>
          </w:p>
        </w:tc>
        <w:tc>
          <w:tcPr>
            <w:tcW w:w="880" w:type="dxa"/>
            <w:tcBorders>
              <w:top w:val="nil"/>
              <w:left w:val="nil"/>
              <w:bottom w:val="nil"/>
              <w:right w:val="nil"/>
            </w:tcBorders>
            <w:shd w:val="clear" w:color="auto" w:fill="auto"/>
            <w:noWrap/>
            <w:vAlign w:val="bottom"/>
            <w:hideMark/>
          </w:tcPr>
          <w:p w14:paraId="1BB2D60B"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0.514</w:t>
            </w:r>
          </w:p>
        </w:tc>
        <w:tc>
          <w:tcPr>
            <w:tcW w:w="880" w:type="dxa"/>
            <w:tcBorders>
              <w:top w:val="nil"/>
              <w:left w:val="nil"/>
              <w:bottom w:val="nil"/>
              <w:right w:val="nil"/>
            </w:tcBorders>
            <w:shd w:val="clear" w:color="auto" w:fill="auto"/>
            <w:noWrap/>
            <w:vAlign w:val="bottom"/>
            <w:hideMark/>
          </w:tcPr>
          <w:p w14:paraId="36CA2EDA"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0.967</w:t>
            </w:r>
          </w:p>
        </w:tc>
        <w:tc>
          <w:tcPr>
            <w:tcW w:w="880" w:type="dxa"/>
            <w:tcBorders>
              <w:top w:val="nil"/>
              <w:left w:val="nil"/>
              <w:bottom w:val="nil"/>
              <w:right w:val="nil"/>
            </w:tcBorders>
            <w:shd w:val="clear" w:color="auto" w:fill="auto"/>
            <w:noWrap/>
            <w:vAlign w:val="bottom"/>
            <w:hideMark/>
          </w:tcPr>
          <w:p w14:paraId="05742648"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&lt; 0.05</w:t>
            </w:r>
          </w:p>
        </w:tc>
        <w:tc>
          <w:tcPr>
            <w:tcW w:w="160" w:type="dxa"/>
            <w:tcBorders>
              <w:top w:val="nil"/>
              <w:left w:val="nil"/>
              <w:bottom w:val="nil"/>
              <w:right w:val="nil"/>
            </w:tcBorders>
            <w:shd w:val="clear" w:color="auto" w:fill="auto"/>
            <w:noWrap/>
            <w:vAlign w:val="bottom"/>
            <w:hideMark/>
          </w:tcPr>
          <w:p w14:paraId="53ED5DC4" w14:textId="77777777" w:rsidR="00060E13" w:rsidRPr="00652C1F" w:rsidRDefault="00060E13" w:rsidP="00ED13B7">
            <w:pPr>
              <w:jc w:val="center"/>
              <w:rPr>
                <w:rFonts w:ascii="Palatino Linotype" w:hAnsi="Palatino Linotype"/>
                <w:color w:val="000000"/>
                <w:sz w:val="16"/>
                <w:szCs w:val="16"/>
              </w:rPr>
            </w:pPr>
          </w:p>
        </w:tc>
        <w:tc>
          <w:tcPr>
            <w:tcW w:w="880" w:type="dxa"/>
            <w:tcBorders>
              <w:top w:val="nil"/>
              <w:left w:val="nil"/>
              <w:bottom w:val="nil"/>
              <w:right w:val="nil"/>
            </w:tcBorders>
            <w:shd w:val="clear" w:color="auto" w:fill="auto"/>
            <w:noWrap/>
            <w:vAlign w:val="bottom"/>
            <w:hideMark/>
          </w:tcPr>
          <w:p w14:paraId="5432F83A"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(0.0; 1)</w:t>
            </w:r>
          </w:p>
        </w:tc>
        <w:tc>
          <w:tcPr>
            <w:tcW w:w="880" w:type="dxa"/>
            <w:tcBorders>
              <w:top w:val="nil"/>
              <w:left w:val="nil"/>
              <w:bottom w:val="nil"/>
              <w:right w:val="nil"/>
            </w:tcBorders>
            <w:shd w:val="clear" w:color="auto" w:fill="auto"/>
            <w:noWrap/>
            <w:vAlign w:val="bottom"/>
            <w:hideMark/>
          </w:tcPr>
          <w:p w14:paraId="4269A29C"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(0.0; -0.4)</w:t>
            </w:r>
          </w:p>
        </w:tc>
      </w:tr>
      <w:tr w:rsidR="00060E13" w:rsidRPr="00652C1F" w14:paraId="28C23C53" w14:textId="77777777" w:rsidTr="00ED13B7">
        <w:trPr>
          <w:trHeight w:val="220"/>
        </w:trPr>
        <w:tc>
          <w:tcPr>
            <w:tcW w:w="1480" w:type="dxa"/>
            <w:tcBorders>
              <w:top w:val="nil"/>
              <w:left w:val="nil"/>
              <w:bottom w:val="nil"/>
              <w:right w:val="nil"/>
            </w:tcBorders>
            <w:shd w:val="clear" w:color="auto" w:fill="auto"/>
            <w:noWrap/>
            <w:vAlign w:val="bottom"/>
            <w:hideMark/>
          </w:tcPr>
          <w:p w14:paraId="57C8D340" w14:textId="77777777" w:rsidR="00060E13" w:rsidRPr="00652C1F" w:rsidRDefault="00060E13" w:rsidP="00ED13B7">
            <w:pPr>
              <w:rPr>
                <w:rFonts w:ascii="Palatino Linotype" w:hAnsi="Palatino Linotype"/>
                <w:color w:val="000000"/>
                <w:sz w:val="16"/>
                <w:szCs w:val="16"/>
              </w:rPr>
            </w:pPr>
            <w:r w:rsidRPr="00652C1F">
              <w:rPr>
                <w:rFonts w:ascii="Palatino Linotype" w:hAnsi="Palatino Linotype"/>
                <w:color w:val="000000"/>
                <w:sz w:val="16"/>
                <w:szCs w:val="16"/>
              </w:rPr>
              <w:t>Neg</w:t>
            </w:r>
          </w:p>
        </w:tc>
        <w:tc>
          <w:tcPr>
            <w:tcW w:w="880" w:type="dxa"/>
            <w:tcBorders>
              <w:top w:val="nil"/>
              <w:left w:val="nil"/>
              <w:bottom w:val="nil"/>
              <w:right w:val="nil"/>
            </w:tcBorders>
            <w:shd w:val="clear" w:color="auto" w:fill="auto"/>
            <w:noWrap/>
            <w:vAlign w:val="bottom"/>
            <w:hideMark/>
          </w:tcPr>
          <w:p w14:paraId="4E5D3157" w14:textId="77777777" w:rsidR="00060E13" w:rsidRPr="00652C1F" w:rsidRDefault="00060E13" w:rsidP="00ED13B7">
            <w:pPr>
              <w:rPr>
                <w:rFonts w:ascii="Palatino Linotype" w:hAnsi="Palatino Linotype"/>
                <w:color w:val="000000"/>
                <w:sz w:val="16"/>
                <w:szCs w:val="16"/>
              </w:rPr>
            </w:pPr>
            <w:r w:rsidRPr="00652C1F">
              <w:rPr>
                <w:rFonts w:ascii="Palatino Linotype" w:hAnsi="Palatino Linotype"/>
                <w:color w:val="000000"/>
                <w:sz w:val="16"/>
                <w:szCs w:val="16"/>
              </w:rPr>
              <w:t>Stems</w:t>
            </w:r>
          </w:p>
        </w:tc>
        <w:tc>
          <w:tcPr>
            <w:tcW w:w="500" w:type="dxa"/>
            <w:tcBorders>
              <w:top w:val="nil"/>
              <w:left w:val="nil"/>
              <w:bottom w:val="nil"/>
              <w:right w:val="nil"/>
            </w:tcBorders>
            <w:shd w:val="clear" w:color="auto" w:fill="auto"/>
            <w:noWrap/>
            <w:vAlign w:val="bottom"/>
            <w:hideMark/>
          </w:tcPr>
          <w:p w14:paraId="683AB071"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1</w:t>
            </w:r>
          </w:p>
        </w:tc>
        <w:tc>
          <w:tcPr>
            <w:tcW w:w="1300" w:type="dxa"/>
            <w:tcBorders>
              <w:top w:val="nil"/>
              <w:left w:val="nil"/>
              <w:bottom w:val="nil"/>
              <w:right w:val="nil"/>
            </w:tcBorders>
            <w:shd w:val="clear" w:color="auto" w:fill="auto"/>
            <w:noWrap/>
            <w:vAlign w:val="bottom"/>
            <w:hideMark/>
          </w:tcPr>
          <w:p w14:paraId="2E8FD716"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1 + 6 + 0</w:t>
            </w:r>
          </w:p>
        </w:tc>
        <w:tc>
          <w:tcPr>
            <w:tcW w:w="880" w:type="dxa"/>
            <w:tcBorders>
              <w:top w:val="nil"/>
              <w:left w:val="nil"/>
              <w:bottom w:val="nil"/>
              <w:right w:val="nil"/>
            </w:tcBorders>
            <w:shd w:val="clear" w:color="auto" w:fill="auto"/>
            <w:noWrap/>
            <w:vAlign w:val="bottom"/>
            <w:hideMark/>
          </w:tcPr>
          <w:p w14:paraId="5F3B4061"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0.655</w:t>
            </w:r>
          </w:p>
        </w:tc>
        <w:tc>
          <w:tcPr>
            <w:tcW w:w="880" w:type="dxa"/>
            <w:tcBorders>
              <w:top w:val="nil"/>
              <w:left w:val="nil"/>
              <w:bottom w:val="nil"/>
              <w:right w:val="nil"/>
            </w:tcBorders>
            <w:shd w:val="clear" w:color="auto" w:fill="auto"/>
            <w:noWrap/>
            <w:vAlign w:val="bottom"/>
            <w:hideMark/>
          </w:tcPr>
          <w:p w14:paraId="7F21BDD3"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0.916</w:t>
            </w:r>
          </w:p>
        </w:tc>
        <w:tc>
          <w:tcPr>
            <w:tcW w:w="880" w:type="dxa"/>
            <w:tcBorders>
              <w:top w:val="nil"/>
              <w:left w:val="nil"/>
              <w:bottom w:val="nil"/>
              <w:right w:val="nil"/>
            </w:tcBorders>
            <w:shd w:val="clear" w:color="auto" w:fill="auto"/>
            <w:noWrap/>
            <w:vAlign w:val="bottom"/>
            <w:hideMark/>
          </w:tcPr>
          <w:p w14:paraId="4C7C39C5"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&lt; 0.05</w:t>
            </w:r>
          </w:p>
        </w:tc>
        <w:tc>
          <w:tcPr>
            <w:tcW w:w="160" w:type="dxa"/>
            <w:tcBorders>
              <w:top w:val="nil"/>
              <w:left w:val="nil"/>
              <w:bottom w:val="nil"/>
              <w:right w:val="nil"/>
            </w:tcBorders>
            <w:shd w:val="clear" w:color="auto" w:fill="auto"/>
            <w:noWrap/>
            <w:vAlign w:val="bottom"/>
            <w:hideMark/>
          </w:tcPr>
          <w:p w14:paraId="54C1069E" w14:textId="77777777" w:rsidR="00060E13" w:rsidRPr="00652C1F" w:rsidRDefault="00060E13" w:rsidP="00ED13B7">
            <w:pPr>
              <w:jc w:val="center"/>
              <w:rPr>
                <w:rFonts w:ascii="Palatino Linotype" w:hAnsi="Palatino Linotype"/>
                <w:color w:val="000000"/>
                <w:sz w:val="16"/>
                <w:szCs w:val="16"/>
              </w:rPr>
            </w:pPr>
          </w:p>
        </w:tc>
        <w:tc>
          <w:tcPr>
            <w:tcW w:w="880" w:type="dxa"/>
            <w:tcBorders>
              <w:top w:val="nil"/>
              <w:left w:val="nil"/>
              <w:bottom w:val="nil"/>
              <w:right w:val="nil"/>
            </w:tcBorders>
            <w:shd w:val="clear" w:color="auto" w:fill="auto"/>
            <w:noWrap/>
            <w:vAlign w:val="bottom"/>
            <w:hideMark/>
          </w:tcPr>
          <w:p w14:paraId="0C27C341"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(0.0; 1)</w:t>
            </w:r>
          </w:p>
        </w:tc>
        <w:tc>
          <w:tcPr>
            <w:tcW w:w="880" w:type="dxa"/>
            <w:tcBorders>
              <w:top w:val="nil"/>
              <w:left w:val="nil"/>
              <w:bottom w:val="nil"/>
              <w:right w:val="nil"/>
            </w:tcBorders>
            <w:shd w:val="clear" w:color="auto" w:fill="auto"/>
            <w:noWrap/>
            <w:vAlign w:val="bottom"/>
            <w:hideMark/>
          </w:tcPr>
          <w:p w14:paraId="6C7A3EA5"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(0.0; 0.0)</w:t>
            </w:r>
          </w:p>
        </w:tc>
      </w:tr>
      <w:tr w:rsidR="00060E13" w:rsidRPr="00652C1F" w14:paraId="01E49486" w14:textId="77777777" w:rsidTr="00ED13B7">
        <w:trPr>
          <w:trHeight w:val="220"/>
        </w:trPr>
        <w:tc>
          <w:tcPr>
            <w:tcW w:w="1480" w:type="dxa"/>
            <w:tcBorders>
              <w:top w:val="nil"/>
              <w:left w:val="nil"/>
              <w:bottom w:val="nil"/>
              <w:right w:val="nil"/>
            </w:tcBorders>
            <w:shd w:val="clear" w:color="auto" w:fill="auto"/>
            <w:noWrap/>
            <w:vAlign w:val="bottom"/>
            <w:hideMark/>
          </w:tcPr>
          <w:p w14:paraId="3E9103B6" w14:textId="77777777" w:rsidR="00060E13" w:rsidRPr="00652C1F" w:rsidRDefault="00060E13" w:rsidP="00ED13B7">
            <w:pPr>
              <w:rPr>
                <w:rFonts w:ascii="Palatino Linotype" w:hAnsi="Palatino Linotype"/>
                <w:color w:val="000000"/>
                <w:sz w:val="16"/>
                <w:szCs w:val="16"/>
              </w:rPr>
            </w:pPr>
            <w:r w:rsidRPr="00652C1F">
              <w:rPr>
                <w:rFonts w:ascii="Palatino Linotype" w:hAnsi="Palatino Linotype"/>
                <w:color w:val="000000"/>
                <w:sz w:val="16"/>
                <w:szCs w:val="16"/>
              </w:rPr>
              <w:t>Neg</w:t>
            </w:r>
          </w:p>
        </w:tc>
        <w:tc>
          <w:tcPr>
            <w:tcW w:w="880" w:type="dxa"/>
            <w:tcBorders>
              <w:top w:val="nil"/>
              <w:left w:val="nil"/>
              <w:bottom w:val="nil"/>
              <w:right w:val="nil"/>
            </w:tcBorders>
            <w:shd w:val="clear" w:color="auto" w:fill="auto"/>
            <w:noWrap/>
            <w:vAlign w:val="bottom"/>
            <w:hideMark/>
          </w:tcPr>
          <w:p w14:paraId="5C482280" w14:textId="77777777" w:rsidR="00060E13" w:rsidRPr="00652C1F" w:rsidRDefault="00060E13" w:rsidP="00ED13B7">
            <w:pPr>
              <w:rPr>
                <w:rFonts w:ascii="Palatino Linotype" w:hAnsi="Palatino Linotype"/>
                <w:color w:val="000000"/>
                <w:sz w:val="16"/>
                <w:szCs w:val="16"/>
              </w:rPr>
            </w:pPr>
            <w:r w:rsidRPr="00652C1F">
              <w:rPr>
                <w:rFonts w:ascii="Palatino Linotype" w:hAnsi="Palatino Linotype"/>
                <w:color w:val="000000"/>
                <w:sz w:val="16"/>
                <w:szCs w:val="16"/>
              </w:rPr>
              <w:t>Stems</w:t>
            </w:r>
          </w:p>
        </w:tc>
        <w:tc>
          <w:tcPr>
            <w:tcW w:w="500" w:type="dxa"/>
            <w:tcBorders>
              <w:top w:val="nil"/>
              <w:left w:val="nil"/>
              <w:bottom w:val="nil"/>
              <w:right w:val="nil"/>
            </w:tcBorders>
            <w:shd w:val="clear" w:color="auto" w:fill="auto"/>
            <w:noWrap/>
            <w:vAlign w:val="bottom"/>
            <w:hideMark/>
          </w:tcPr>
          <w:p w14:paraId="566069FB"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4</w:t>
            </w:r>
          </w:p>
        </w:tc>
        <w:tc>
          <w:tcPr>
            <w:tcW w:w="1300" w:type="dxa"/>
            <w:tcBorders>
              <w:top w:val="nil"/>
              <w:left w:val="nil"/>
              <w:bottom w:val="nil"/>
              <w:right w:val="nil"/>
            </w:tcBorders>
            <w:shd w:val="clear" w:color="auto" w:fill="auto"/>
            <w:noWrap/>
            <w:vAlign w:val="bottom"/>
            <w:hideMark/>
          </w:tcPr>
          <w:p w14:paraId="4BCEA816"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1 + 3 + 0</w:t>
            </w:r>
          </w:p>
        </w:tc>
        <w:tc>
          <w:tcPr>
            <w:tcW w:w="880" w:type="dxa"/>
            <w:tcBorders>
              <w:top w:val="nil"/>
              <w:left w:val="nil"/>
              <w:bottom w:val="nil"/>
              <w:right w:val="nil"/>
            </w:tcBorders>
            <w:shd w:val="clear" w:color="auto" w:fill="auto"/>
            <w:noWrap/>
            <w:vAlign w:val="bottom"/>
            <w:hideMark/>
          </w:tcPr>
          <w:p w14:paraId="52132F07"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0.562</w:t>
            </w:r>
          </w:p>
        </w:tc>
        <w:tc>
          <w:tcPr>
            <w:tcW w:w="880" w:type="dxa"/>
            <w:tcBorders>
              <w:top w:val="nil"/>
              <w:left w:val="nil"/>
              <w:bottom w:val="nil"/>
              <w:right w:val="nil"/>
            </w:tcBorders>
            <w:shd w:val="clear" w:color="auto" w:fill="auto"/>
            <w:noWrap/>
            <w:vAlign w:val="bottom"/>
            <w:hideMark/>
          </w:tcPr>
          <w:p w14:paraId="450013FB"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0.899</w:t>
            </w:r>
          </w:p>
        </w:tc>
        <w:tc>
          <w:tcPr>
            <w:tcW w:w="880" w:type="dxa"/>
            <w:tcBorders>
              <w:top w:val="nil"/>
              <w:left w:val="nil"/>
              <w:bottom w:val="nil"/>
              <w:right w:val="nil"/>
            </w:tcBorders>
            <w:shd w:val="clear" w:color="auto" w:fill="auto"/>
            <w:noWrap/>
            <w:vAlign w:val="bottom"/>
            <w:hideMark/>
          </w:tcPr>
          <w:p w14:paraId="2F0B685D"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&lt; 0.05</w:t>
            </w:r>
          </w:p>
        </w:tc>
        <w:tc>
          <w:tcPr>
            <w:tcW w:w="160" w:type="dxa"/>
            <w:tcBorders>
              <w:top w:val="nil"/>
              <w:left w:val="nil"/>
              <w:bottom w:val="nil"/>
              <w:right w:val="nil"/>
            </w:tcBorders>
            <w:shd w:val="clear" w:color="auto" w:fill="auto"/>
            <w:noWrap/>
            <w:vAlign w:val="bottom"/>
            <w:hideMark/>
          </w:tcPr>
          <w:p w14:paraId="63AF8C01" w14:textId="77777777" w:rsidR="00060E13" w:rsidRPr="00652C1F" w:rsidRDefault="00060E13" w:rsidP="00ED13B7">
            <w:pPr>
              <w:jc w:val="center"/>
              <w:rPr>
                <w:rFonts w:ascii="Palatino Linotype" w:hAnsi="Palatino Linotype"/>
                <w:color w:val="000000"/>
                <w:sz w:val="16"/>
                <w:szCs w:val="16"/>
              </w:rPr>
            </w:pPr>
          </w:p>
        </w:tc>
        <w:tc>
          <w:tcPr>
            <w:tcW w:w="880" w:type="dxa"/>
            <w:tcBorders>
              <w:top w:val="nil"/>
              <w:left w:val="nil"/>
              <w:bottom w:val="nil"/>
              <w:right w:val="nil"/>
            </w:tcBorders>
            <w:shd w:val="clear" w:color="auto" w:fill="auto"/>
            <w:noWrap/>
            <w:vAlign w:val="bottom"/>
            <w:hideMark/>
          </w:tcPr>
          <w:p w14:paraId="609AE27F"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(0.0; 1)</w:t>
            </w:r>
          </w:p>
        </w:tc>
        <w:tc>
          <w:tcPr>
            <w:tcW w:w="880" w:type="dxa"/>
            <w:tcBorders>
              <w:top w:val="nil"/>
              <w:left w:val="nil"/>
              <w:bottom w:val="nil"/>
              <w:right w:val="nil"/>
            </w:tcBorders>
            <w:shd w:val="clear" w:color="auto" w:fill="auto"/>
            <w:noWrap/>
            <w:vAlign w:val="bottom"/>
            <w:hideMark/>
          </w:tcPr>
          <w:p w14:paraId="30EFFDB3"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(0.0; -0.3)</w:t>
            </w:r>
          </w:p>
        </w:tc>
      </w:tr>
      <w:tr w:rsidR="00060E13" w:rsidRPr="00652C1F" w14:paraId="16851FA9" w14:textId="77777777" w:rsidTr="00ED13B7">
        <w:trPr>
          <w:trHeight w:val="220"/>
        </w:trPr>
        <w:tc>
          <w:tcPr>
            <w:tcW w:w="1480" w:type="dxa"/>
            <w:tcBorders>
              <w:top w:val="nil"/>
              <w:left w:val="nil"/>
              <w:bottom w:val="nil"/>
              <w:right w:val="nil"/>
            </w:tcBorders>
            <w:shd w:val="clear" w:color="auto" w:fill="auto"/>
            <w:noWrap/>
            <w:vAlign w:val="bottom"/>
            <w:hideMark/>
          </w:tcPr>
          <w:p w14:paraId="392279A6" w14:textId="77777777" w:rsidR="00060E13" w:rsidRPr="00652C1F" w:rsidRDefault="00060E13" w:rsidP="00ED13B7">
            <w:pPr>
              <w:rPr>
                <w:rFonts w:ascii="Palatino Linotype" w:hAnsi="Palatino Linotype"/>
                <w:color w:val="000000"/>
                <w:sz w:val="16"/>
                <w:szCs w:val="16"/>
              </w:rPr>
            </w:pPr>
            <w:r w:rsidRPr="00652C1F">
              <w:rPr>
                <w:rFonts w:ascii="Palatino Linotype" w:hAnsi="Palatino Linotype"/>
                <w:color w:val="000000"/>
                <w:sz w:val="16"/>
                <w:szCs w:val="16"/>
              </w:rPr>
              <w:t>Neg</w:t>
            </w:r>
          </w:p>
        </w:tc>
        <w:tc>
          <w:tcPr>
            <w:tcW w:w="880" w:type="dxa"/>
            <w:tcBorders>
              <w:top w:val="nil"/>
              <w:left w:val="nil"/>
              <w:bottom w:val="nil"/>
              <w:right w:val="nil"/>
            </w:tcBorders>
            <w:shd w:val="clear" w:color="auto" w:fill="auto"/>
            <w:noWrap/>
            <w:vAlign w:val="bottom"/>
            <w:hideMark/>
          </w:tcPr>
          <w:p w14:paraId="7AA1AC25" w14:textId="77777777" w:rsidR="00060E13" w:rsidRPr="00652C1F" w:rsidRDefault="00060E13" w:rsidP="00ED13B7">
            <w:pPr>
              <w:rPr>
                <w:rFonts w:ascii="Palatino Linotype" w:hAnsi="Palatino Linotype"/>
                <w:color w:val="000000"/>
                <w:sz w:val="16"/>
                <w:szCs w:val="16"/>
              </w:rPr>
            </w:pPr>
            <w:r w:rsidRPr="00652C1F">
              <w:rPr>
                <w:rFonts w:ascii="Palatino Linotype" w:hAnsi="Palatino Linotype"/>
                <w:color w:val="000000"/>
                <w:sz w:val="16"/>
                <w:szCs w:val="16"/>
              </w:rPr>
              <w:t>Stems</w:t>
            </w:r>
          </w:p>
        </w:tc>
        <w:tc>
          <w:tcPr>
            <w:tcW w:w="500" w:type="dxa"/>
            <w:tcBorders>
              <w:top w:val="nil"/>
              <w:left w:val="nil"/>
              <w:bottom w:val="nil"/>
              <w:right w:val="nil"/>
            </w:tcBorders>
            <w:shd w:val="clear" w:color="auto" w:fill="auto"/>
            <w:noWrap/>
            <w:vAlign w:val="bottom"/>
            <w:hideMark/>
          </w:tcPr>
          <w:p w14:paraId="27560C4B"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7</w:t>
            </w:r>
          </w:p>
        </w:tc>
        <w:tc>
          <w:tcPr>
            <w:tcW w:w="1300" w:type="dxa"/>
            <w:tcBorders>
              <w:top w:val="nil"/>
              <w:left w:val="nil"/>
              <w:bottom w:val="nil"/>
              <w:right w:val="nil"/>
            </w:tcBorders>
            <w:shd w:val="clear" w:color="auto" w:fill="auto"/>
            <w:noWrap/>
            <w:vAlign w:val="bottom"/>
            <w:hideMark/>
          </w:tcPr>
          <w:p w14:paraId="2B224EAC"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1 + 3 + 0</w:t>
            </w:r>
          </w:p>
        </w:tc>
        <w:tc>
          <w:tcPr>
            <w:tcW w:w="880" w:type="dxa"/>
            <w:tcBorders>
              <w:top w:val="nil"/>
              <w:left w:val="nil"/>
              <w:bottom w:val="nil"/>
              <w:right w:val="nil"/>
            </w:tcBorders>
            <w:shd w:val="clear" w:color="auto" w:fill="auto"/>
            <w:noWrap/>
            <w:vAlign w:val="bottom"/>
            <w:hideMark/>
          </w:tcPr>
          <w:p w14:paraId="5E30E384"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0.577</w:t>
            </w:r>
          </w:p>
        </w:tc>
        <w:tc>
          <w:tcPr>
            <w:tcW w:w="880" w:type="dxa"/>
            <w:tcBorders>
              <w:top w:val="nil"/>
              <w:left w:val="nil"/>
              <w:bottom w:val="nil"/>
              <w:right w:val="nil"/>
            </w:tcBorders>
            <w:shd w:val="clear" w:color="auto" w:fill="auto"/>
            <w:noWrap/>
            <w:vAlign w:val="bottom"/>
            <w:hideMark/>
          </w:tcPr>
          <w:p w14:paraId="1495204A"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0.879</w:t>
            </w:r>
          </w:p>
        </w:tc>
        <w:tc>
          <w:tcPr>
            <w:tcW w:w="880" w:type="dxa"/>
            <w:tcBorders>
              <w:top w:val="nil"/>
              <w:left w:val="nil"/>
              <w:bottom w:val="nil"/>
              <w:right w:val="nil"/>
            </w:tcBorders>
            <w:shd w:val="clear" w:color="auto" w:fill="auto"/>
            <w:noWrap/>
            <w:vAlign w:val="bottom"/>
            <w:hideMark/>
          </w:tcPr>
          <w:p w14:paraId="3804687C"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&lt; 0.05</w:t>
            </w:r>
          </w:p>
        </w:tc>
        <w:tc>
          <w:tcPr>
            <w:tcW w:w="160" w:type="dxa"/>
            <w:tcBorders>
              <w:top w:val="nil"/>
              <w:left w:val="nil"/>
              <w:bottom w:val="nil"/>
              <w:right w:val="nil"/>
            </w:tcBorders>
            <w:shd w:val="clear" w:color="auto" w:fill="auto"/>
            <w:noWrap/>
            <w:vAlign w:val="bottom"/>
            <w:hideMark/>
          </w:tcPr>
          <w:p w14:paraId="1C294054" w14:textId="77777777" w:rsidR="00060E13" w:rsidRPr="00652C1F" w:rsidRDefault="00060E13" w:rsidP="00ED13B7">
            <w:pPr>
              <w:jc w:val="center"/>
              <w:rPr>
                <w:rFonts w:ascii="Palatino Linotype" w:hAnsi="Palatino Linotype"/>
                <w:color w:val="000000"/>
                <w:sz w:val="16"/>
                <w:szCs w:val="16"/>
              </w:rPr>
            </w:pPr>
          </w:p>
        </w:tc>
        <w:tc>
          <w:tcPr>
            <w:tcW w:w="880" w:type="dxa"/>
            <w:tcBorders>
              <w:top w:val="nil"/>
              <w:left w:val="nil"/>
              <w:bottom w:val="nil"/>
              <w:right w:val="nil"/>
            </w:tcBorders>
            <w:shd w:val="clear" w:color="auto" w:fill="auto"/>
            <w:noWrap/>
            <w:vAlign w:val="bottom"/>
            <w:hideMark/>
          </w:tcPr>
          <w:p w14:paraId="7595A3D7"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(0.0; 1)</w:t>
            </w:r>
          </w:p>
        </w:tc>
        <w:tc>
          <w:tcPr>
            <w:tcW w:w="880" w:type="dxa"/>
            <w:tcBorders>
              <w:top w:val="nil"/>
              <w:left w:val="nil"/>
              <w:bottom w:val="nil"/>
              <w:right w:val="nil"/>
            </w:tcBorders>
            <w:shd w:val="clear" w:color="auto" w:fill="auto"/>
            <w:noWrap/>
            <w:vAlign w:val="bottom"/>
            <w:hideMark/>
          </w:tcPr>
          <w:p w14:paraId="08BB5A55"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(0.0; -0.4)</w:t>
            </w:r>
          </w:p>
        </w:tc>
      </w:tr>
      <w:tr w:rsidR="00060E13" w:rsidRPr="00652C1F" w14:paraId="5486B5D7" w14:textId="77777777" w:rsidTr="00ED13B7">
        <w:trPr>
          <w:trHeight w:val="220"/>
        </w:trPr>
        <w:tc>
          <w:tcPr>
            <w:tcW w:w="1480" w:type="dxa"/>
            <w:tcBorders>
              <w:top w:val="nil"/>
              <w:left w:val="nil"/>
              <w:bottom w:val="nil"/>
              <w:right w:val="nil"/>
            </w:tcBorders>
            <w:shd w:val="clear" w:color="auto" w:fill="auto"/>
            <w:noWrap/>
            <w:vAlign w:val="bottom"/>
            <w:hideMark/>
          </w:tcPr>
          <w:p w14:paraId="0C1C5364" w14:textId="77777777" w:rsidR="00060E13" w:rsidRPr="00652C1F" w:rsidRDefault="00060E13" w:rsidP="00ED13B7">
            <w:pPr>
              <w:rPr>
                <w:rFonts w:ascii="Palatino Linotype" w:hAnsi="Palatino Linotype"/>
                <w:color w:val="000000"/>
                <w:sz w:val="16"/>
                <w:szCs w:val="16"/>
              </w:rPr>
            </w:pPr>
            <w:r w:rsidRPr="00652C1F">
              <w:rPr>
                <w:rFonts w:ascii="Palatino Linotype" w:hAnsi="Palatino Linotype"/>
                <w:color w:val="000000"/>
                <w:sz w:val="16"/>
                <w:szCs w:val="16"/>
              </w:rPr>
              <w:t>Pos</w:t>
            </w:r>
          </w:p>
        </w:tc>
        <w:tc>
          <w:tcPr>
            <w:tcW w:w="880" w:type="dxa"/>
            <w:tcBorders>
              <w:top w:val="nil"/>
              <w:left w:val="nil"/>
              <w:bottom w:val="nil"/>
              <w:right w:val="nil"/>
            </w:tcBorders>
            <w:shd w:val="clear" w:color="auto" w:fill="auto"/>
            <w:noWrap/>
            <w:vAlign w:val="bottom"/>
            <w:hideMark/>
          </w:tcPr>
          <w:p w14:paraId="35B7D143" w14:textId="77777777" w:rsidR="00060E13" w:rsidRPr="00652C1F" w:rsidRDefault="00060E13" w:rsidP="00ED13B7">
            <w:pPr>
              <w:rPr>
                <w:rFonts w:ascii="Palatino Linotype" w:hAnsi="Palatino Linotype"/>
                <w:color w:val="000000"/>
                <w:sz w:val="16"/>
                <w:szCs w:val="16"/>
              </w:rPr>
            </w:pPr>
            <w:r w:rsidRPr="00652C1F">
              <w:rPr>
                <w:rFonts w:ascii="Palatino Linotype" w:hAnsi="Palatino Linotype"/>
                <w:color w:val="000000"/>
                <w:sz w:val="16"/>
                <w:szCs w:val="16"/>
              </w:rPr>
              <w:t>Stems</w:t>
            </w:r>
          </w:p>
        </w:tc>
        <w:tc>
          <w:tcPr>
            <w:tcW w:w="500" w:type="dxa"/>
            <w:tcBorders>
              <w:top w:val="nil"/>
              <w:left w:val="nil"/>
              <w:bottom w:val="nil"/>
              <w:right w:val="nil"/>
            </w:tcBorders>
            <w:shd w:val="clear" w:color="auto" w:fill="auto"/>
            <w:noWrap/>
            <w:vAlign w:val="bottom"/>
            <w:hideMark/>
          </w:tcPr>
          <w:p w14:paraId="67E3B813"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1</w:t>
            </w:r>
          </w:p>
        </w:tc>
        <w:tc>
          <w:tcPr>
            <w:tcW w:w="1300" w:type="dxa"/>
            <w:tcBorders>
              <w:top w:val="nil"/>
              <w:left w:val="nil"/>
              <w:bottom w:val="nil"/>
              <w:right w:val="nil"/>
            </w:tcBorders>
            <w:shd w:val="clear" w:color="auto" w:fill="auto"/>
            <w:noWrap/>
            <w:vAlign w:val="bottom"/>
            <w:hideMark/>
          </w:tcPr>
          <w:p w14:paraId="2619AEB5"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1 + 2 + 0</w:t>
            </w:r>
          </w:p>
        </w:tc>
        <w:tc>
          <w:tcPr>
            <w:tcW w:w="880" w:type="dxa"/>
            <w:tcBorders>
              <w:top w:val="nil"/>
              <w:left w:val="nil"/>
              <w:bottom w:val="nil"/>
              <w:right w:val="nil"/>
            </w:tcBorders>
            <w:shd w:val="clear" w:color="auto" w:fill="auto"/>
            <w:noWrap/>
            <w:vAlign w:val="bottom"/>
            <w:hideMark/>
          </w:tcPr>
          <w:p w14:paraId="42502E9E"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0.615</w:t>
            </w:r>
          </w:p>
        </w:tc>
        <w:tc>
          <w:tcPr>
            <w:tcW w:w="880" w:type="dxa"/>
            <w:tcBorders>
              <w:top w:val="nil"/>
              <w:left w:val="nil"/>
              <w:bottom w:val="nil"/>
              <w:right w:val="nil"/>
            </w:tcBorders>
            <w:shd w:val="clear" w:color="auto" w:fill="auto"/>
            <w:noWrap/>
            <w:vAlign w:val="bottom"/>
            <w:hideMark/>
          </w:tcPr>
          <w:p w14:paraId="19194D93"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0.961</w:t>
            </w:r>
          </w:p>
        </w:tc>
        <w:tc>
          <w:tcPr>
            <w:tcW w:w="880" w:type="dxa"/>
            <w:tcBorders>
              <w:top w:val="nil"/>
              <w:left w:val="nil"/>
              <w:bottom w:val="nil"/>
              <w:right w:val="nil"/>
            </w:tcBorders>
            <w:shd w:val="clear" w:color="auto" w:fill="auto"/>
            <w:noWrap/>
            <w:vAlign w:val="bottom"/>
            <w:hideMark/>
          </w:tcPr>
          <w:p w14:paraId="7AC1C2A3"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&lt; 0.05</w:t>
            </w:r>
          </w:p>
        </w:tc>
        <w:tc>
          <w:tcPr>
            <w:tcW w:w="160" w:type="dxa"/>
            <w:tcBorders>
              <w:top w:val="nil"/>
              <w:left w:val="nil"/>
              <w:bottom w:val="nil"/>
              <w:right w:val="nil"/>
            </w:tcBorders>
            <w:shd w:val="clear" w:color="auto" w:fill="auto"/>
            <w:noWrap/>
            <w:vAlign w:val="bottom"/>
            <w:hideMark/>
          </w:tcPr>
          <w:p w14:paraId="7654D6EE" w14:textId="77777777" w:rsidR="00060E13" w:rsidRPr="00652C1F" w:rsidRDefault="00060E13" w:rsidP="00ED13B7">
            <w:pPr>
              <w:jc w:val="center"/>
              <w:rPr>
                <w:rFonts w:ascii="Palatino Linotype" w:hAnsi="Palatino Linotype"/>
                <w:color w:val="000000"/>
                <w:sz w:val="16"/>
                <w:szCs w:val="16"/>
              </w:rPr>
            </w:pPr>
          </w:p>
        </w:tc>
        <w:tc>
          <w:tcPr>
            <w:tcW w:w="880" w:type="dxa"/>
            <w:tcBorders>
              <w:top w:val="nil"/>
              <w:left w:val="nil"/>
              <w:bottom w:val="nil"/>
              <w:right w:val="nil"/>
            </w:tcBorders>
            <w:shd w:val="clear" w:color="auto" w:fill="auto"/>
            <w:noWrap/>
            <w:vAlign w:val="bottom"/>
            <w:hideMark/>
          </w:tcPr>
          <w:p w14:paraId="2FC66212"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(0.0; 1)</w:t>
            </w:r>
          </w:p>
        </w:tc>
        <w:tc>
          <w:tcPr>
            <w:tcW w:w="880" w:type="dxa"/>
            <w:tcBorders>
              <w:top w:val="nil"/>
              <w:left w:val="nil"/>
              <w:bottom w:val="nil"/>
              <w:right w:val="nil"/>
            </w:tcBorders>
            <w:shd w:val="clear" w:color="auto" w:fill="auto"/>
            <w:noWrap/>
            <w:vAlign w:val="bottom"/>
            <w:hideMark/>
          </w:tcPr>
          <w:p w14:paraId="68AD1EE2"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(0.0; -0.6)</w:t>
            </w:r>
          </w:p>
        </w:tc>
      </w:tr>
      <w:tr w:rsidR="00060E13" w:rsidRPr="00652C1F" w14:paraId="37006253" w14:textId="77777777" w:rsidTr="00ED13B7">
        <w:trPr>
          <w:trHeight w:val="220"/>
        </w:trPr>
        <w:tc>
          <w:tcPr>
            <w:tcW w:w="1480" w:type="dxa"/>
            <w:tcBorders>
              <w:top w:val="nil"/>
              <w:left w:val="nil"/>
              <w:bottom w:val="nil"/>
              <w:right w:val="nil"/>
            </w:tcBorders>
            <w:shd w:val="clear" w:color="auto" w:fill="auto"/>
            <w:noWrap/>
            <w:vAlign w:val="bottom"/>
            <w:hideMark/>
          </w:tcPr>
          <w:p w14:paraId="4EFAEEF8" w14:textId="77777777" w:rsidR="00060E13" w:rsidRPr="00652C1F" w:rsidRDefault="00060E13" w:rsidP="00ED13B7">
            <w:pPr>
              <w:rPr>
                <w:rFonts w:ascii="Palatino Linotype" w:hAnsi="Palatino Linotype"/>
                <w:color w:val="000000"/>
                <w:sz w:val="16"/>
                <w:szCs w:val="16"/>
              </w:rPr>
            </w:pPr>
            <w:r w:rsidRPr="00652C1F">
              <w:rPr>
                <w:rFonts w:ascii="Palatino Linotype" w:hAnsi="Palatino Linotype"/>
                <w:color w:val="000000"/>
                <w:sz w:val="16"/>
                <w:szCs w:val="16"/>
              </w:rPr>
              <w:t>Pos</w:t>
            </w:r>
          </w:p>
        </w:tc>
        <w:tc>
          <w:tcPr>
            <w:tcW w:w="880" w:type="dxa"/>
            <w:tcBorders>
              <w:top w:val="nil"/>
              <w:left w:val="nil"/>
              <w:bottom w:val="nil"/>
              <w:right w:val="nil"/>
            </w:tcBorders>
            <w:shd w:val="clear" w:color="auto" w:fill="auto"/>
            <w:noWrap/>
            <w:vAlign w:val="bottom"/>
            <w:hideMark/>
          </w:tcPr>
          <w:p w14:paraId="0BAE6F39" w14:textId="77777777" w:rsidR="00060E13" w:rsidRPr="00652C1F" w:rsidRDefault="00060E13" w:rsidP="00ED13B7">
            <w:pPr>
              <w:rPr>
                <w:rFonts w:ascii="Palatino Linotype" w:hAnsi="Palatino Linotype"/>
                <w:color w:val="000000"/>
                <w:sz w:val="16"/>
                <w:szCs w:val="16"/>
              </w:rPr>
            </w:pPr>
            <w:r w:rsidRPr="00652C1F">
              <w:rPr>
                <w:rFonts w:ascii="Palatino Linotype" w:hAnsi="Palatino Linotype"/>
                <w:color w:val="000000"/>
                <w:sz w:val="16"/>
                <w:szCs w:val="16"/>
              </w:rPr>
              <w:t>Stems</w:t>
            </w:r>
          </w:p>
        </w:tc>
        <w:tc>
          <w:tcPr>
            <w:tcW w:w="500" w:type="dxa"/>
            <w:tcBorders>
              <w:top w:val="nil"/>
              <w:left w:val="nil"/>
              <w:bottom w:val="nil"/>
              <w:right w:val="nil"/>
            </w:tcBorders>
            <w:shd w:val="clear" w:color="auto" w:fill="auto"/>
            <w:noWrap/>
            <w:vAlign w:val="bottom"/>
            <w:hideMark/>
          </w:tcPr>
          <w:p w14:paraId="3DED89FD"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4</w:t>
            </w:r>
          </w:p>
        </w:tc>
        <w:tc>
          <w:tcPr>
            <w:tcW w:w="1300" w:type="dxa"/>
            <w:tcBorders>
              <w:top w:val="nil"/>
              <w:left w:val="nil"/>
              <w:bottom w:val="nil"/>
              <w:right w:val="nil"/>
            </w:tcBorders>
            <w:shd w:val="clear" w:color="auto" w:fill="auto"/>
            <w:noWrap/>
            <w:vAlign w:val="bottom"/>
            <w:hideMark/>
          </w:tcPr>
          <w:p w14:paraId="5CD39629"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1 + 3 + 0</w:t>
            </w:r>
          </w:p>
        </w:tc>
        <w:tc>
          <w:tcPr>
            <w:tcW w:w="880" w:type="dxa"/>
            <w:tcBorders>
              <w:top w:val="nil"/>
              <w:left w:val="nil"/>
              <w:bottom w:val="nil"/>
              <w:right w:val="nil"/>
            </w:tcBorders>
            <w:shd w:val="clear" w:color="auto" w:fill="auto"/>
            <w:noWrap/>
            <w:vAlign w:val="bottom"/>
            <w:hideMark/>
          </w:tcPr>
          <w:p w14:paraId="3C348846"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0.765</w:t>
            </w:r>
          </w:p>
        </w:tc>
        <w:tc>
          <w:tcPr>
            <w:tcW w:w="880" w:type="dxa"/>
            <w:tcBorders>
              <w:top w:val="nil"/>
              <w:left w:val="nil"/>
              <w:bottom w:val="nil"/>
              <w:right w:val="nil"/>
            </w:tcBorders>
            <w:shd w:val="clear" w:color="auto" w:fill="auto"/>
            <w:noWrap/>
            <w:vAlign w:val="bottom"/>
            <w:hideMark/>
          </w:tcPr>
          <w:p w14:paraId="465CB60D"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0.951</w:t>
            </w:r>
          </w:p>
        </w:tc>
        <w:tc>
          <w:tcPr>
            <w:tcW w:w="880" w:type="dxa"/>
            <w:tcBorders>
              <w:top w:val="nil"/>
              <w:left w:val="nil"/>
              <w:bottom w:val="nil"/>
              <w:right w:val="nil"/>
            </w:tcBorders>
            <w:shd w:val="clear" w:color="auto" w:fill="auto"/>
            <w:noWrap/>
            <w:vAlign w:val="bottom"/>
            <w:hideMark/>
          </w:tcPr>
          <w:p w14:paraId="6DC0FBA5"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&lt; 0.05</w:t>
            </w:r>
          </w:p>
        </w:tc>
        <w:tc>
          <w:tcPr>
            <w:tcW w:w="160" w:type="dxa"/>
            <w:tcBorders>
              <w:top w:val="nil"/>
              <w:left w:val="nil"/>
              <w:bottom w:val="nil"/>
              <w:right w:val="nil"/>
            </w:tcBorders>
            <w:shd w:val="clear" w:color="auto" w:fill="auto"/>
            <w:noWrap/>
            <w:vAlign w:val="bottom"/>
            <w:hideMark/>
          </w:tcPr>
          <w:p w14:paraId="1F82CA80" w14:textId="77777777" w:rsidR="00060E13" w:rsidRPr="00652C1F" w:rsidRDefault="00060E13" w:rsidP="00ED13B7">
            <w:pPr>
              <w:jc w:val="center"/>
              <w:rPr>
                <w:rFonts w:ascii="Palatino Linotype" w:hAnsi="Palatino Linotype"/>
                <w:color w:val="000000"/>
                <w:sz w:val="16"/>
                <w:szCs w:val="16"/>
              </w:rPr>
            </w:pPr>
          </w:p>
        </w:tc>
        <w:tc>
          <w:tcPr>
            <w:tcW w:w="880" w:type="dxa"/>
            <w:tcBorders>
              <w:top w:val="nil"/>
              <w:left w:val="nil"/>
              <w:bottom w:val="nil"/>
              <w:right w:val="nil"/>
            </w:tcBorders>
            <w:shd w:val="clear" w:color="auto" w:fill="auto"/>
            <w:noWrap/>
            <w:vAlign w:val="bottom"/>
            <w:hideMark/>
          </w:tcPr>
          <w:p w14:paraId="779F5728"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(0.0; 1)</w:t>
            </w:r>
          </w:p>
        </w:tc>
        <w:tc>
          <w:tcPr>
            <w:tcW w:w="880" w:type="dxa"/>
            <w:tcBorders>
              <w:top w:val="nil"/>
              <w:left w:val="nil"/>
              <w:bottom w:val="nil"/>
              <w:right w:val="nil"/>
            </w:tcBorders>
            <w:shd w:val="clear" w:color="auto" w:fill="auto"/>
            <w:noWrap/>
            <w:vAlign w:val="bottom"/>
            <w:hideMark/>
          </w:tcPr>
          <w:p w14:paraId="36DF7E63"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(0.0; -0.5)</w:t>
            </w:r>
          </w:p>
        </w:tc>
      </w:tr>
      <w:tr w:rsidR="00060E13" w:rsidRPr="00652C1F" w14:paraId="3791EAB0" w14:textId="77777777" w:rsidTr="00ED13B7">
        <w:trPr>
          <w:trHeight w:val="220"/>
        </w:trPr>
        <w:tc>
          <w:tcPr>
            <w:tcW w:w="1480" w:type="dxa"/>
            <w:tcBorders>
              <w:top w:val="nil"/>
              <w:left w:val="nil"/>
              <w:bottom w:val="single" w:sz="4" w:space="0" w:color="auto"/>
              <w:right w:val="nil"/>
            </w:tcBorders>
            <w:shd w:val="clear" w:color="auto" w:fill="auto"/>
            <w:noWrap/>
            <w:vAlign w:val="bottom"/>
            <w:hideMark/>
          </w:tcPr>
          <w:p w14:paraId="24C8D322" w14:textId="77777777" w:rsidR="00060E13" w:rsidRPr="00652C1F" w:rsidRDefault="00060E13" w:rsidP="00ED13B7">
            <w:pPr>
              <w:rPr>
                <w:rFonts w:ascii="Palatino Linotype" w:hAnsi="Palatino Linotype"/>
                <w:color w:val="000000"/>
                <w:sz w:val="16"/>
                <w:szCs w:val="16"/>
              </w:rPr>
            </w:pPr>
            <w:r w:rsidRPr="00652C1F">
              <w:rPr>
                <w:rFonts w:ascii="Palatino Linotype" w:hAnsi="Palatino Linotype"/>
                <w:color w:val="000000"/>
                <w:sz w:val="16"/>
                <w:szCs w:val="16"/>
              </w:rPr>
              <w:t>Pos</w:t>
            </w:r>
          </w:p>
        </w:tc>
        <w:tc>
          <w:tcPr>
            <w:tcW w:w="880" w:type="dxa"/>
            <w:tcBorders>
              <w:top w:val="nil"/>
              <w:left w:val="nil"/>
              <w:bottom w:val="single" w:sz="4" w:space="0" w:color="auto"/>
              <w:right w:val="nil"/>
            </w:tcBorders>
            <w:shd w:val="clear" w:color="auto" w:fill="auto"/>
            <w:noWrap/>
            <w:vAlign w:val="bottom"/>
            <w:hideMark/>
          </w:tcPr>
          <w:p w14:paraId="4758960B" w14:textId="77777777" w:rsidR="00060E13" w:rsidRPr="00652C1F" w:rsidRDefault="00060E13" w:rsidP="00ED13B7">
            <w:pPr>
              <w:rPr>
                <w:rFonts w:ascii="Palatino Linotype" w:hAnsi="Palatino Linotype"/>
                <w:color w:val="000000"/>
                <w:sz w:val="16"/>
                <w:szCs w:val="16"/>
              </w:rPr>
            </w:pPr>
            <w:r w:rsidRPr="00652C1F">
              <w:rPr>
                <w:rFonts w:ascii="Palatino Linotype" w:hAnsi="Palatino Linotype"/>
                <w:color w:val="000000"/>
                <w:sz w:val="16"/>
                <w:szCs w:val="16"/>
              </w:rPr>
              <w:t>Stems</w:t>
            </w:r>
          </w:p>
        </w:tc>
        <w:tc>
          <w:tcPr>
            <w:tcW w:w="500" w:type="dxa"/>
            <w:tcBorders>
              <w:top w:val="nil"/>
              <w:left w:val="nil"/>
              <w:bottom w:val="single" w:sz="4" w:space="0" w:color="auto"/>
              <w:right w:val="nil"/>
            </w:tcBorders>
            <w:shd w:val="clear" w:color="auto" w:fill="auto"/>
            <w:noWrap/>
            <w:vAlign w:val="bottom"/>
            <w:hideMark/>
          </w:tcPr>
          <w:p w14:paraId="2C8103E8"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7</w:t>
            </w:r>
          </w:p>
        </w:tc>
        <w:tc>
          <w:tcPr>
            <w:tcW w:w="1300" w:type="dxa"/>
            <w:tcBorders>
              <w:top w:val="nil"/>
              <w:left w:val="nil"/>
              <w:bottom w:val="single" w:sz="4" w:space="0" w:color="auto"/>
              <w:right w:val="nil"/>
            </w:tcBorders>
            <w:shd w:val="clear" w:color="auto" w:fill="auto"/>
            <w:noWrap/>
            <w:vAlign w:val="bottom"/>
            <w:hideMark/>
          </w:tcPr>
          <w:p w14:paraId="6C7FA1F0"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1 + 3 + 0</w:t>
            </w:r>
          </w:p>
        </w:tc>
        <w:tc>
          <w:tcPr>
            <w:tcW w:w="880" w:type="dxa"/>
            <w:tcBorders>
              <w:top w:val="nil"/>
              <w:left w:val="nil"/>
              <w:bottom w:val="single" w:sz="4" w:space="0" w:color="auto"/>
              <w:right w:val="nil"/>
            </w:tcBorders>
            <w:shd w:val="clear" w:color="auto" w:fill="auto"/>
            <w:noWrap/>
            <w:vAlign w:val="bottom"/>
            <w:hideMark/>
          </w:tcPr>
          <w:p w14:paraId="7774590A"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0.73</w:t>
            </w:r>
            <w:r>
              <w:rPr>
                <w:rFonts w:ascii="Palatino Linotype" w:hAnsi="Palatino Linotype"/>
                <w:color w:val="000000"/>
                <w:sz w:val="16"/>
                <w:szCs w:val="16"/>
              </w:rPr>
              <w:t>0</w:t>
            </w:r>
          </w:p>
        </w:tc>
        <w:tc>
          <w:tcPr>
            <w:tcW w:w="880" w:type="dxa"/>
            <w:tcBorders>
              <w:top w:val="nil"/>
              <w:left w:val="nil"/>
              <w:bottom w:val="single" w:sz="4" w:space="0" w:color="auto"/>
              <w:right w:val="nil"/>
            </w:tcBorders>
            <w:shd w:val="clear" w:color="auto" w:fill="auto"/>
            <w:noWrap/>
            <w:vAlign w:val="bottom"/>
            <w:hideMark/>
          </w:tcPr>
          <w:p w14:paraId="4588C15B"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0.974</w:t>
            </w:r>
          </w:p>
        </w:tc>
        <w:tc>
          <w:tcPr>
            <w:tcW w:w="880" w:type="dxa"/>
            <w:tcBorders>
              <w:top w:val="nil"/>
              <w:left w:val="nil"/>
              <w:bottom w:val="single" w:sz="4" w:space="0" w:color="auto"/>
              <w:right w:val="nil"/>
            </w:tcBorders>
            <w:shd w:val="clear" w:color="auto" w:fill="auto"/>
            <w:noWrap/>
            <w:vAlign w:val="bottom"/>
            <w:hideMark/>
          </w:tcPr>
          <w:p w14:paraId="2A6E891E"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&lt; 0.05</w:t>
            </w:r>
          </w:p>
        </w:tc>
        <w:tc>
          <w:tcPr>
            <w:tcW w:w="160" w:type="dxa"/>
            <w:tcBorders>
              <w:top w:val="nil"/>
              <w:left w:val="nil"/>
              <w:bottom w:val="single" w:sz="4" w:space="0" w:color="auto"/>
              <w:right w:val="nil"/>
            </w:tcBorders>
            <w:shd w:val="clear" w:color="auto" w:fill="auto"/>
            <w:noWrap/>
            <w:vAlign w:val="bottom"/>
            <w:hideMark/>
          </w:tcPr>
          <w:p w14:paraId="6D8EFB31"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 </w:t>
            </w:r>
          </w:p>
        </w:tc>
        <w:tc>
          <w:tcPr>
            <w:tcW w:w="880" w:type="dxa"/>
            <w:tcBorders>
              <w:top w:val="nil"/>
              <w:left w:val="nil"/>
              <w:bottom w:val="single" w:sz="4" w:space="0" w:color="auto"/>
              <w:right w:val="nil"/>
            </w:tcBorders>
            <w:shd w:val="clear" w:color="auto" w:fill="auto"/>
            <w:noWrap/>
            <w:vAlign w:val="bottom"/>
            <w:hideMark/>
          </w:tcPr>
          <w:p w14:paraId="214788F4"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(0.0; 1)</w:t>
            </w:r>
          </w:p>
        </w:tc>
        <w:tc>
          <w:tcPr>
            <w:tcW w:w="880" w:type="dxa"/>
            <w:tcBorders>
              <w:top w:val="nil"/>
              <w:left w:val="nil"/>
              <w:bottom w:val="single" w:sz="4" w:space="0" w:color="auto"/>
              <w:right w:val="nil"/>
            </w:tcBorders>
            <w:shd w:val="clear" w:color="auto" w:fill="auto"/>
            <w:noWrap/>
            <w:vAlign w:val="bottom"/>
            <w:hideMark/>
          </w:tcPr>
          <w:p w14:paraId="505DBFBF" w14:textId="77777777" w:rsidR="00060E13" w:rsidRPr="00652C1F" w:rsidRDefault="00060E13" w:rsidP="00ED13B7">
            <w:pPr>
              <w:jc w:val="center"/>
              <w:rPr>
                <w:rFonts w:ascii="Palatino Linotype" w:hAnsi="Palatino Linotype"/>
                <w:color w:val="000000"/>
                <w:sz w:val="16"/>
                <w:szCs w:val="16"/>
              </w:rPr>
            </w:pPr>
            <w:r w:rsidRPr="00652C1F">
              <w:rPr>
                <w:rFonts w:ascii="Palatino Linotype" w:hAnsi="Palatino Linotype"/>
                <w:color w:val="000000"/>
                <w:sz w:val="16"/>
                <w:szCs w:val="16"/>
              </w:rPr>
              <w:t>(0.0; -0.5)</w:t>
            </w:r>
          </w:p>
        </w:tc>
      </w:tr>
    </w:tbl>
    <w:p w14:paraId="73E535C8" w14:textId="77777777" w:rsidR="00060E13" w:rsidRDefault="00060E13" w:rsidP="00060E13">
      <w:pPr>
        <w:spacing w:line="260" w:lineRule="atLeast"/>
        <w:ind w:right="567"/>
        <w:rPr>
          <w:rFonts w:ascii="Palatino Linotype" w:hAnsi="Palatino Linotype"/>
          <w:color w:val="000000"/>
          <w:sz w:val="20"/>
          <w:szCs w:val="20"/>
        </w:rPr>
      </w:pPr>
      <w:r>
        <w:rPr>
          <w:rFonts w:ascii="Palatino Linotype" w:hAnsi="Palatino Linotype"/>
          <w:color w:val="000000"/>
          <w:sz w:val="20"/>
          <w:szCs w:val="20"/>
          <w:vertAlign w:val="superscript"/>
        </w:rPr>
        <w:t xml:space="preserve">a </w:t>
      </w:r>
      <w:r>
        <w:rPr>
          <w:rFonts w:ascii="Palatino Linotype" w:hAnsi="Palatino Linotype"/>
          <w:color w:val="000000"/>
          <w:sz w:val="20"/>
          <w:szCs w:val="20"/>
        </w:rPr>
        <w:t xml:space="preserve">d.p.i.: Days post inoculation with </w:t>
      </w:r>
      <w:r w:rsidRPr="000A6154">
        <w:rPr>
          <w:rFonts w:ascii="Palatino Linotype" w:hAnsi="Palatino Linotype"/>
          <w:i/>
          <w:color w:val="000000"/>
          <w:sz w:val="20"/>
          <w:szCs w:val="20"/>
        </w:rPr>
        <w:t>F. pseudograminearum</w:t>
      </w:r>
      <w:r>
        <w:rPr>
          <w:rFonts w:ascii="Palatino Linotype" w:hAnsi="Palatino Linotype"/>
          <w:color w:val="000000"/>
          <w:sz w:val="20"/>
          <w:szCs w:val="20"/>
        </w:rPr>
        <w:t>.</w:t>
      </w:r>
    </w:p>
    <w:p w14:paraId="7C1E4E74" w14:textId="3B4D1D50" w:rsidR="00F45925" w:rsidRDefault="00060E13" w:rsidP="00060E13">
      <w:pPr>
        <w:rPr>
          <w:rFonts w:ascii="Palatino Linotype" w:hAnsi="Palatino Linotype"/>
          <w:color w:val="000000"/>
          <w:sz w:val="18"/>
          <w:szCs w:val="18"/>
        </w:rPr>
      </w:pPr>
      <w:r w:rsidRPr="000A6154">
        <w:rPr>
          <w:rFonts w:ascii="Palatino Linotype" w:hAnsi="Palatino Linotype"/>
          <w:color w:val="000000"/>
          <w:sz w:val="20"/>
          <w:szCs w:val="20"/>
          <w:vertAlign w:val="superscript"/>
        </w:rPr>
        <w:t>b</w:t>
      </w:r>
      <w:r>
        <w:rPr>
          <w:rFonts w:ascii="Palatino Linotype" w:hAnsi="Palatino Linotype"/>
          <w:color w:val="000000"/>
          <w:sz w:val="20"/>
          <w:szCs w:val="20"/>
          <w:vertAlign w:val="superscript"/>
        </w:rPr>
        <w:t xml:space="preserve"> </w:t>
      </w:r>
      <w:r>
        <w:rPr>
          <w:rFonts w:ascii="Palatino Linotype" w:hAnsi="Palatino Linotype"/>
          <w:bCs/>
          <w:color w:val="000000"/>
          <w:sz w:val="18"/>
          <w:szCs w:val="18"/>
        </w:rPr>
        <w:t>Permutated models</w:t>
      </w:r>
      <w:r w:rsidRPr="00A21B37">
        <w:rPr>
          <w:rFonts w:ascii="Palatino Linotype" w:hAnsi="Palatino Linotype"/>
          <w:color w:val="000000"/>
          <w:sz w:val="18"/>
          <w:szCs w:val="18"/>
        </w:rPr>
        <w:t xml:space="preserve"> (n = 100) for </w:t>
      </w:r>
      <w:r>
        <w:rPr>
          <w:rFonts w:ascii="Palatino Linotype" w:hAnsi="Palatino Linotype"/>
          <w:color w:val="000000"/>
          <w:sz w:val="18"/>
          <w:szCs w:val="18"/>
        </w:rPr>
        <w:t>each of the</w:t>
      </w:r>
      <w:r w:rsidRPr="00A21B37">
        <w:rPr>
          <w:rFonts w:ascii="Palatino Linotype" w:hAnsi="Palatino Linotype"/>
          <w:color w:val="000000"/>
          <w:sz w:val="18"/>
          <w:szCs w:val="18"/>
        </w:rPr>
        <w:t xml:space="preserve"> OPLS-DA mode</w:t>
      </w:r>
      <w:r>
        <w:rPr>
          <w:rFonts w:ascii="Palatino Linotype" w:hAnsi="Palatino Linotype"/>
          <w:color w:val="000000"/>
          <w:sz w:val="18"/>
          <w:szCs w:val="18"/>
        </w:rPr>
        <w:t>ls.</w:t>
      </w:r>
      <w:r w:rsidR="00F45925">
        <w:rPr>
          <w:rFonts w:ascii="Palatino Linotype" w:hAnsi="Palatino Linotype"/>
          <w:color w:val="000000"/>
          <w:sz w:val="18"/>
          <w:szCs w:val="18"/>
        </w:rPr>
        <w:br w:type="page"/>
      </w:r>
    </w:p>
    <w:p w14:paraId="45A019ED" w14:textId="77777777" w:rsidR="00F45925" w:rsidRPr="0031672C" w:rsidRDefault="00F45925" w:rsidP="00F45925">
      <w:pPr>
        <w:pStyle w:val="NormalWeb"/>
        <w:spacing w:line="260" w:lineRule="atLeast"/>
        <w:jc w:val="right"/>
        <w:rPr>
          <w:rFonts w:ascii="Palatino Linotype" w:hAnsi="Palatino Linotype"/>
        </w:rPr>
      </w:pPr>
      <w:r w:rsidRPr="0031672C">
        <w:rPr>
          <w:rFonts w:ascii="Palatino Linotype" w:hAnsi="Palatino Linotype"/>
          <w:noProof/>
          <w:lang w:val="en-ZA" w:eastAsia="en-ZA"/>
        </w:rPr>
        <w:lastRenderedPageBreak/>
        <w:drawing>
          <wp:inline distT="0" distB="0" distL="0" distR="0" wp14:anchorId="7AC1377D" wp14:editId="617AC299">
            <wp:extent cx="5040000" cy="2989582"/>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040000" cy="2989582"/>
                    </a:xfrm>
                    <a:prstGeom prst="rect">
                      <a:avLst/>
                    </a:prstGeom>
                  </pic:spPr>
                </pic:pic>
              </a:graphicData>
            </a:graphic>
          </wp:inline>
        </w:drawing>
      </w:r>
    </w:p>
    <w:p w14:paraId="2A0F82C0" w14:textId="7D6D3FA1" w:rsidR="00F45925" w:rsidRPr="001B0B9E" w:rsidRDefault="00F45925" w:rsidP="00F45925">
      <w:pPr>
        <w:pStyle w:val="NormalWeb"/>
        <w:snapToGrid w:val="0"/>
        <w:spacing w:before="120" w:beforeAutospacing="0" w:after="240" w:afterAutospacing="0" w:line="260" w:lineRule="atLeast"/>
        <w:ind w:left="425" w:right="425"/>
        <w:jc w:val="both"/>
        <w:rPr>
          <w:rFonts w:ascii="Palatino Linotype" w:hAnsi="Palatino Linotype"/>
          <w:b/>
          <w:color w:val="000000"/>
          <w:sz w:val="18"/>
          <w:szCs w:val="18"/>
          <w:lang w:eastAsia="de-DE" w:bidi="en-US"/>
        </w:rPr>
      </w:pPr>
      <w:r w:rsidRPr="001B0B9E">
        <w:rPr>
          <w:rFonts w:ascii="Palatino Linotype" w:hAnsi="Palatino Linotype"/>
          <w:b/>
          <w:color w:val="000000"/>
          <w:sz w:val="18"/>
          <w:szCs w:val="18"/>
          <w:lang w:eastAsia="de-DE" w:bidi="en-US"/>
        </w:rPr>
        <w:t xml:space="preserve">Figure </w:t>
      </w:r>
      <w:r>
        <w:rPr>
          <w:rFonts w:ascii="Palatino Linotype" w:hAnsi="Palatino Linotype"/>
          <w:b/>
          <w:color w:val="000000"/>
          <w:sz w:val="18"/>
          <w:szCs w:val="18"/>
          <w:lang w:eastAsia="de-DE" w:bidi="en-US"/>
        </w:rPr>
        <w:t>S</w:t>
      </w:r>
      <w:r w:rsidR="002869AD">
        <w:rPr>
          <w:rFonts w:ascii="Palatino Linotype" w:hAnsi="Palatino Linotype"/>
          <w:b/>
          <w:color w:val="000000"/>
          <w:sz w:val="18"/>
          <w:szCs w:val="18"/>
          <w:lang w:eastAsia="de-DE" w:bidi="en-US"/>
        </w:rPr>
        <w:t>11</w:t>
      </w:r>
      <w:r>
        <w:rPr>
          <w:rFonts w:ascii="Palatino Linotype" w:hAnsi="Palatino Linotype"/>
          <w:b/>
          <w:color w:val="000000"/>
          <w:sz w:val="18"/>
          <w:szCs w:val="18"/>
          <w:lang w:eastAsia="de-DE" w:bidi="en-US"/>
        </w:rPr>
        <w:t>.</w:t>
      </w:r>
      <w:r w:rsidRPr="001B0B9E">
        <w:rPr>
          <w:rFonts w:ascii="Palatino Linotype" w:hAnsi="Palatino Linotype"/>
          <w:b/>
          <w:color w:val="000000"/>
          <w:sz w:val="18"/>
          <w:szCs w:val="18"/>
          <w:lang w:eastAsia="de-DE" w:bidi="en-US"/>
        </w:rPr>
        <w:t xml:space="preserve"> </w:t>
      </w:r>
      <w:r w:rsidRPr="001B0B9E">
        <w:rPr>
          <w:rFonts w:ascii="Palatino Linotype" w:hAnsi="Palatino Linotype"/>
          <w:color w:val="000000"/>
          <w:sz w:val="18"/>
          <w:szCs w:val="18"/>
          <w:lang w:eastAsia="de-DE" w:bidi="en-US"/>
        </w:rPr>
        <w:t xml:space="preserve">Summary of pathway analysis with MetPA: Representation of all MetPA-computed metabolic pathways displayed per their significance or pathway impact. The graph, or “metabolome view” contains all the matched pathways (the metabolome) arranged by </w:t>
      </w:r>
      <w:r w:rsidRPr="00A56474">
        <w:rPr>
          <w:rFonts w:ascii="Palatino Linotype" w:hAnsi="Palatino Linotype"/>
          <w:i/>
          <w:color w:val="000000"/>
          <w:sz w:val="18"/>
          <w:szCs w:val="18"/>
          <w:lang w:eastAsia="de-DE" w:bidi="en-US"/>
        </w:rPr>
        <w:t>p</w:t>
      </w:r>
      <w:r>
        <w:rPr>
          <w:rFonts w:ascii="Palatino Linotype" w:hAnsi="Palatino Linotype"/>
          <w:color w:val="000000"/>
          <w:sz w:val="18"/>
          <w:szCs w:val="18"/>
          <w:lang w:eastAsia="de-DE" w:bidi="en-US"/>
        </w:rPr>
        <w:t xml:space="preserve"> </w:t>
      </w:r>
      <w:r w:rsidRPr="001B0B9E">
        <w:rPr>
          <w:rFonts w:ascii="Palatino Linotype" w:hAnsi="Palatino Linotype"/>
          <w:color w:val="000000"/>
          <w:sz w:val="18"/>
          <w:szCs w:val="18"/>
          <w:lang w:eastAsia="de-DE" w:bidi="en-US"/>
        </w:rPr>
        <w:t xml:space="preserve">values (pathway enrichment analysis) on y-axis, and the pathway impact values (pathway topology analysis) on x-axis. The node color is based on the </w:t>
      </w:r>
      <w:r w:rsidRPr="00A56474">
        <w:rPr>
          <w:rFonts w:ascii="Palatino Linotype" w:hAnsi="Palatino Linotype"/>
          <w:i/>
          <w:color w:val="000000"/>
          <w:sz w:val="18"/>
          <w:szCs w:val="18"/>
          <w:lang w:eastAsia="de-DE" w:bidi="en-US"/>
        </w:rPr>
        <w:t>p</w:t>
      </w:r>
      <w:r w:rsidRPr="001B0B9E">
        <w:rPr>
          <w:rFonts w:ascii="Palatino Linotype" w:hAnsi="Palatino Linotype"/>
          <w:color w:val="000000"/>
          <w:sz w:val="18"/>
          <w:szCs w:val="18"/>
          <w:lang w:eastAsia="de-DE" w:bidi="en-US"/>
        </w:rPr>
        <w:t xml:space="preserve"> value and the node radius is defined by the pathway impact values. The latter is the cumulative percentage from the matched metabolite nodes. Thus, the graph indicates pathways with high impact: e.g. flavonoid, flavone and flavonol biosynthesis and phenylalanine and glutathione metabolism to be highly significant metabolic pathways that are involved in the </w:t>
      </w:r>
      <w:r w:rsidRPr="003F4B59">
        <w:rPr>
          <w:rFonts w:ascii="Palatino Linotype" w:hAnsi="Palatino Linotype"/>
          <w:i/>
          <w:color w:val="000000"/>
          <w:sz w:val="18"/>
          <w:szCs w:val="18"/>
          <w:lang w:eastAsia="de-DE" w:bidi="en-US"/>
        </w:rPr>
        <w:t>S. bicolor</w:t>
      </w:r>
      <w:r w:rsidRPr="001B0B9E">
        <w:rPr>
          <w:rFonts w:ascii="Palatino Linotype" w:hAnsi="Palatino Linotype"/>
          <w:color w:val="000000"/>
          <w:sz w:val="18"/>
          <w:szCs w:val="18"/>
          <w:lang w:eastAsia="de-DE" w:bidi="en-US"/>
        </w:rPr>
        <w:t xml:space="preserve"> response to </w:t>
      </w:r>
      <w:r w:rsidRPr="00783E51">
        <w:rPr>
          <w:rFonts w:ascii="Palatino Linotype" w:hAnsi="Palatino Linotype"/>
          <w:i/>
          <w:color w:val="000000"/>
          <w:sz w:val="18"/>
          <w:szCs w:val="18"/>
          <w:lang w:eastAsia="de-DE" w:bidi="en-US"/>
        </w:rPr>
        <w:t>P. alvei</w:t>
      </w:r>
      <w:r w:rsidRPr="001B0B9E">
        <w:rPr>
          <w:rFonts w:ascii="Palatino Linotype" w:hAnsi="Palatino Linotype"/>
          <w:color w:val="000000"/>
          <w:sz w:val="18"/>
          <w:szCs w:val="18"/>
          <w:lang w:eastAsia="de-DE" w:bidi="en-US"/>
        </w:rPr>
        <w:t xml:space="preserve">-induced priming against </w:t>
      </w:r>
      <w:r w:rsidRPr="00396C96">
        <w:rPr>
          <w:rFonts w:ascii="Palatino Linotype" w:hAnsi="Palatino Linotype"/>
          <w:i/>
          <w:color w:val="000000"/>
          <w:sz w:val="18"/>
          <w:szCs w:val="18"/>
          <w:lang w:eastAsia="de-DE" w:bidi="en-US"/>
        </w:rPr>
        <w:t>F. pseudograminearum</w:t>
      </w:r>
      <w:r w:rsidRPr="001B0B9E">
        <w:rPr>
          <w:rFonts w:ascii="Palatino Linotype" w:hAnsi="Palatino Linotype"/>
          <w:color w:val="000000"/>
          <w:sz w:val="18"/>
          <w:szCs w:val="18"/>
          <w:lang w:eastAsia="de-DE" w:bidi="en-US"/>
        </w:rPr>
        <w:t>.</w:t>
      </w:r>
    </w:p>
    <w:p w14:paraId="3017B793" w14:textId="77777777" w:rsidR="00F45925" w:rsidRPr="0031672C" w:rsidRDefault="00F45925" w:rsidP="00F45925">
      <w:pPr>
        <w:pStyle w:val="NormalWeb"/>
        <w:spacing w:before="0" w:beforeAutospacing="0" w:after="0" w:afterAutospacing="0" w:line="260" w:lineRule="atLeast"/>
        <w:ind w:left="567" w:right="567"/>
        <w:jc w:val="both"/>
        <w:rPr>
          <w:rFonts w:ascii="Palatino Linotype" w:hAnsi="Palatino Linotype"/>
          <w:color w:val="000000"/>
          <w:sz w:val="20"/>
          <w:szCs w:val="20"/>
        </w:rPr>
      </w:pPr>
    </w:p>
    <w:p w14:paraId="18EA423E" w14:textId="77777777" w:rsidR="00F45925" w:rsidRPr="0031672C" w:rsidRDefault="00F45925" w:rsidP="00F45925">
      <w:pPr>
        <w:spacing w:line="260" w:lineRule="atLeast"/>
        <w:jc w:val="center"/>
        <w:rPr>
          <w:rFonts w:ascii="Palatino Linotype" w:hAnsi="Palatino Linotype"/>
        </w:rPr>
      </w:pPr>
      <w:r w:rsidRPr="0031672C">
        <w:rPr>
          <w:rFonts w:ascii="Palatino Linotype" w:hAnsi="Palatino Linotype"/>
          <w:noProof/>
          <w:lang w:eastAsia="en-ZA"/>
        </w:rPr>
        <w:drawing>
          <wp:inline distT="0" distB="0" distL="0" distR="0" wp14:anchorId="3D886217" wp14:editId="3427E585">
            <wp:extent cx="2520000" cy="2520000"/>
            <wp:effectExtent l="0" t="0" r="0" b="0"/>
            <wp:docPr id="51" name="Picture 51" descr="/var/folders/jg/1jq_63yx0kx0rqn01fp1bypr0000gn/T/com.microsoft.Word/WebArchiveCopyPasteTempFiles/A03r5Ss2WRsjAAAAAElFTkSuQmC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ar/folders/jg/1jq_63yx0kx0rqn01fp1bypr0000gn/T/com.microsoft.Word/WebArchiveCopyPasteTempFiles/A03r5Ss2WRsjAAAAAElFTkSuQmCC"/>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520000" cy="2520000"/>
                    </a:xfrm>
                    <a:prstGeom prst="rect">
                      <a:avLst/>
                    </a:prstGeom>
                    <a:noFill/>
                    <a:ln>
                      <a:noFill/>
                    </a:ln>
                  </pic:spPr>
                </pic:pic>
              </a:graphicData>
            </a:graphic>
          </wp:inline>
        </w:drawing>
      </w:r>
    </w:p>
    <w:p w14:paraId="267C8CFB" w14:textId="517EC6C4" w:rsidR="005E454E" w:rsidRPr="00F45925" w:rsidRDefault="00F45925" w:rsidP="00F45925">
      <w:pPr>
        <w:pStyle w:val="NormalWeb"/>
        <w:snapToGrid w:val="0"/>
        <w:spacing w:before="120" w:beforeAutospacing="0" w:after="240" w:afterAutospacing="0" w:line="260" w:lineRule="atLeast"/>
        <w:ind w:left="425" w:right="425"/>
        <w:jc w:val="both"/>
        <w:rPr>
          <w:rFonts w:ascii="Palatino Linotype" w:hAnsi="Palatino Linotype"/>
          <w:b/>
          <w:color w:val="000000"/>
          <w:sz w:val="18"/>
          <w:szCs w:val="18"/>
          <w:lang w:eastAsia="de-DE" w:bidi="en-US"/>
        </w:rPr>
      </w:pPr>
      <w:r w:rsidRPr="001B0B9E">
        <w:rPr>
          <w:rFonts w:ascii="Palatino Linotype" w:hAnsi="Palatino Linotype"/>
          <w:b/>
          <w:color w:val="000000"/>
          <w:sz w:val="18"/>
          <w:szCs w:val="18"/>
          <w:lang w:eastAsia="de-DE" w:bidi="en-US"/>
        </w:rPr>
        <w:t>Figure</w:t>
      </w:r>
      <w:r>
        <w:rPr>
          <w:rFonts w:ascii="Palatino Linotype" w:hAnsi="Palatino Linotype"/>
          <w:b/>
          <w:color w:val="000000"/>
          <w:sz w:val="18"/>
          <w:szCs w:val="18"/>
          <w:lang w:eastAsia="de-DE" w:bidi="en-US"/>
        </w:rPr>
        <w:t xml:space="preserve"> S</w:t>
      </w:r>
      <w:r w:rsidR="002869AD">
        <w:rPr>
          <w:rFonts w:ascii="Palatino Linotype" w:hAnsi="Palatino Linotype"/>
          <w:b/>
          <w:color w:val="000000"/>
          <w:sz w:val="18"/>
          <w:szCs w:val="18"/>
          <w:lang w:eastAsia="de-DE" w:bidi="en-US"/>
        </w:rPr>
        <w:t>12</w:t>
      </w:r>
      <w:r>
        <w:rPr>
          <w:rFonts w:ascii="Palatino Linotype" w:hAnsi="Palatino Linotype"/>
          <w:b/>
          <w:color w:val="000000"/>
          <w:sz w:val="18"/>
          <w:szCs w:val="18"/>
          <w:lang w:eastAsia="de-DE" w:bidi="en-US"/>
        </w:rPr>
        <w:t>.</w:t>
      </w:r>
      <w:r w:rsidRPr="001B0B9E">
        <w:rPr>
          <w:rFonts w:ascii="Palatino Linotype" w:hAnsi="Palatino Linotype"/>
          <w:b/>
          <w:color w:val="000000"/>
          <w:sz w:val="18"/>
          <w:szCs w:val="18"/>
          <w:lang w:eastAsia="de-DE" w:bidi="en-US"/>
        </w:rPr>
        <w:t xml:space="preserve"> </w:t>
      </w:r>
      <w:r w:rsidRPr="001B0B9E">
        <w:rPr>
          <w:rFonts w:ascii="Palatino Linotype" w:hAnsi="Palatino Linotype"/>
          <w:color w:val="000000"/>
          <w:sz w:val="18"/>
          <w:szCs w:val="18"/>
          <w:lang w:eastAsia="de-DE" w:bidi="en-US"/>
        </w:rPr>
        <w:t xml:space="preserve">Venn diagram comparing the number of metabolites shown in Table </w:t>
      </w:r>
      <w:r w:rsidR="00662A23">
        <w:rPr>
          <w:rFonts w:ascii="Palatino Linotype" w:hAnsi="Palatino Linotype"/>
          <w:color w:val="000000"/>
          <w:sz w:val="18"/>
          <w:szCs w:val="18"/>
          <w:lang w:eastAsia="de-DE" w:bidi="en-US"/>
        </w:rPr>
        <w:t>2</w:t>
      </w:r>
      <w:r w:rsidRPr="001B0B9E">
        <w:rPr>
          <w:rFonts w:ascii="Palatino Linotype" w:hAnsi="Palatino Linotype"/>
          <w:color w:val="000000"/>
          <w:sz w:val="18"/>
          <w:szCs w:val="18"/>
          <w:lang w:eastAsia="de-DE" w:bidi="en-US"/>
        </w:rPr>
        <w:t xml:space="preserve"> that were significantly upregulated at 1 d.p.i. (blue), 4 d.p.i. (yellow) and 7 d.p.i. (green) with </w:t>
      </w:r>
      <w:r w:rsidRPr="00396C96">
        <w:rPr>
          <w:rFonts w:ascii="Palatino Linotype" w:hAnsi="Palatino Linotype"/>
          <w:i/>
          <w:color w:val="000000"/>
          <w:sz w:val="18"/>
          <w:szCs w:val="18"/>
          <w:lang w:eastAsia="de-DE" w:bidi="en-US"/>
        </w:rPr>
        <w:t>F. pseudograminearum</w:t>
      </w:r>
      <w:r w:rsidRPr="001B0B9E">
        <w:rPr>
          <w:rFonts w:ascii="Palatino Linotype" w:hAnsi="Palatino Linotype"/>
          <w:color w:val="000000"/>
          <w:sz w:val="18"/>
          <w:szCs w:val="18"/>
          <w:lang w:eastAsia="de-DE" w:bidi="en-US"/>
        </w:rPr>
        <w:t xml:space="preserve"> in primed </w:t>
      </w:r>
      <w:r w:rsidRPr="00F014AB">
        <w:rPr>
          <w:rFonts w:ascii="Palatino Linotype" w:hAnsi="Palatino Linotype"/>
          <w:i/>
          <w:color w:val="000000"/>
          <w:sz w:val="18"/>
          <w:szCs w:val="18"/>
          <w:lang w:eastAsia="de-DE" w:bidi="en-US"/>
        </w:rPr>
        <w:t>versus</w:t>
      </w:r>
      <w:r w:rsidRPr="001B0B9E">
        <w:rPr>
          <w:rFonts w:ascii="Palatino Linotype" w:hAnsi="Palatino Linotype"/>
          <w:color w:val="000000"/>
          <w:sz w:val="18"/>
          <w:szCs w:val="18"/>
          <w:lang w:eastAsia="de-DE" w:bidi="en-US"/>
        </w:rPr>
        <w:t xml:space="preserve"> naïve </w:t>
      </w:r>
      <w:r w:rsidRPr="003F4B59">
        <w:rPr>
          <w:rFonts w:ascii="Palatino Linotype" w:hAnsi="Palatino Linotype"/>
          <w:i/>
          <w:color w:val="000000"/>
          <w:sz w:val="18"/>
          <w:szCs w:val="18"/>
          <w:lang w:eastAsia="de-DE" w:bidi="en-US"/>
        </w:rPr>
        <w:t>S. bicolor</w:t>
      </w:r>
      <w:r w:rsidRPr="001B0B9E">
        <w:rPr>
          <w:rFonts w:ascii="Palatino Linotype" w:hAnsi="Palatino Linotype"/>
          <w:color w:val="000000"/>
          <w:sz w:val="18"/>
          <w:szCs w:val="18"/>
          <w:lang w:eastAsia="de-DE" w:bidi="en-US"/>
        </w:rPr>
        <w:t xml:space="preserve"> seedlings.</w:t>
      </w:r>
    </w:p>
    <w:sectPr w:rsidR="005E454E" w:rsidRPr="00F45925" w:rsidSect="00CC4CD5">
      <w:headerReference w:type="even" r:id="rId21"/>
      <w:headerReference w:type="default" r:id="rId22"/>
      <w:type w:val="continuous"/>
      <w:pgSz w:w="11901" w:h="16817"/>
      <w:pgMar w:top="1440" w:right="1440" w:bottom="1440" w:left="1440" w:header="709" w:footer="709" w:gutter="0"/>
      <w:lnNumType w:countBy="1" w:restart="continuou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13D8915" w14:textId="77777777" w:rsidR="00921AB2" w:rsidRDefault="00921AB2" w:rsidP="00C17586">
      <w:r>
        <w:separator/>
      </w:r>
    </w:p>
  </w:endnote>
  <w:endnote w:type="continuationSeparator" w:id="0">
    <w:p w14:paraId="2EF3191F" w14:textId="77777777" w:rsidR="00921AB2" w:rsidRDefault="00921AB2" w:rsidP="00C175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Palatino Linotype">
    <w:panose1 w:val="02040502050505030304"/>
    <w:charset w:val="00"/>
    <w:family w:val="roman"/>
    <w:pitch w:val="variable"/>
    <w:sig w:usb0="E0000287" w:usb1="40000013" w:usb2="00000000" w:usb3="00000000" w:csb0="0000019F" w:csb1="00000000"/>
  </w:font>
  <w:font w:name="Symbol">
    <w:panose1 w:val="05050102010706020507"/>
    <w:charset w:val="02"/>
    <w:family w:val="decorative"/>
    <w:pitch w:val="variable"/>
    <w:sig w:usb0="00000000" w:usb1="10000000" w:usb2="00000000" w:usb3="00000000" w:csb0="80000000" w:csb1="00000000"/>
  </w:font>
  <w:font w:name="Yu Mincho">
    <w:panose1 w:val="02020400000000000000"/>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5C0CA16" w14:textId="77777777" w:rsidR="00921AB2" w:rsidRDefault="00921AB2" w:rsidP="00C17586">
      <w:r>
        <w:separator/>
      </w:r>
    </w:p>
  </w:footnote>
  <w:footnote w:type="continuationSeparator" w:id="0">
    <w:p w14:paraId="224887BD" w14:textId="77777777" w:rsidR="00921AB2" w:rsidRDefault="00921AB2" w:rsidP="00C1758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DDE2BC" w14:textId="77777777" w:rsidR="00A625EE" w:rsidRDefault="00A625EE" w:rsidP="00637B6D">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BA59F52" w14:textId="77777777" w:rsidR="00A625EE" w:rsidRDefault="00A625EE" w:rsidP="00B44D7A">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E33A48" w14:textId="282B207B" w:rsidR="00A625EE" w:rsidRDefault="00A625EE" w:rsidP="00637B6D">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922BAA">
      <w:rPr>
        <w:rStyle w:val="PageNumber"/>
        <w:noProof/>
      </w:rPr>
      <w:t>8</w:t>
    </w:r>
    <w:r>
      <w:rPr>
        <w:rStyle w:val="PageNumber"/>
      </w:rPr>
      <w:fldChar w:fldCharType="end"/>
    </w:r>
  </w:p>
  <w:p w14:paraId="6B24FBF8" w14:textId="013E6DB5" w:rsidR="00A625EE" w:rsidRPr="00B44D7A" w:rsidRDefault="00A625EE" w:rsidP="00B44D7A">
    <w:pPr>
      <w:pStyle w:val="Header"/>
      <w:ind w:right="360"/>
      <w:rPr>
        <w:sz w:val="20"/>
        <w:szCs w:val="20"/>
      </w:rPr>
    </w:pPr>
    <w:r w:rsidRPr="00B44D7A">
      <w:rPr>
        <w:i/>
        <w:sz w:val="20"/>
        <w:szCs w:val="20"/>
      </w:rPr>
      <w:t xml:space="preserve">Metabolites </w:t>
    </w:r>
    <w:r w:rsidRPr="00B44D7A">
      <w:rPr>
        <w:sz w:val="20"/>
        <w:szCs w:val="20"/>
      </w:rPr>
      <w:t xml:space="preserve">2019, x, x, </w:t>
    </w:r>
    <w:r w:rsidR="00D46DBA">
      <w:rPr>
        <w:sz w:val="20"/>
        <w:szCs w:val="20"/>
      </w:rPr>
      <w:t>Supplementary material</w:t>
    </w:r>
    <w:r w:rsidR="00772C33">
      <w:rPr>
        <w:sz w:val="20"/>
        <w:szCs w:val="20"/>
      </w:rPr>
      <w:t>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B250214"/>
    <w:multiLevelType w:val="hybridMultilevel"/>
    <w:tmpl w:val="FE1285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bestFit" w:percent="145"/>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2FF8"/>
    <w:rsid w:val="0000238B"/>
    <w:rsid w:val="00004D36"/>
    <w:rsid w:val="00007120"/>
    <w:rsid w:val="000150FA"/>
    <w:rsid w:val="00015224"/>
    <w:rsid w:val="00016CAB"/>
    <w:rsid w:val="0003100F"/>
    <w:rsid w:val="00031B4E"/>
    <w:rsid w:val="00031B9B"/>
    <w:rsid w:val="00033080"/>
    <w:rsid w:val="00033F93"/>
    <w:rsid w:val="000343F1"/>
    <w:rsid w:val="00034FE8"/>
    <w:rsid w:val="00035BA3"/>
    <w:rsid w:val="00037194"/>
    <w:rsid w:val="00037AA9"/>
    <w:rsid w:val="000431C1"/>
    <w:rsid w:val="00052282"/>
    <w:rsid w:val="00054474"/>
    <w:rsid w:val="00055405"/>
    <w:rsid w:val="00056440"/>
    <w:rsid w:val="00057D45"/>
    <w:rsid w:val="00060E13"/>
    <w:rsid w:val="00062777"/>
    <w:rsid w:val="00063731"/>
    <w:rsid w:val="00065ADB"/>
    <w:rsid w:val="00070370"/>
    <w:rsid w:val="000711CC"/>
    <w:rsid w:val="00073B1B"/>
    <w:rsid w:val="00081621"/>
    <w:rsid w:val="0008259E"/>
    <w:rsid w:val="00084598"/>
    <w:rsid w:val="00086330"/>
    <w:rsid w:val="000904F9"/>
    <w:rsid w:val="00090ACB"/>
    <w:rsid w:val="0009262A"/>
    <w:rsid w:val="00092C1D"/>
    <w:rsid w:val="0009443A"/>
    <w:rsid w:val="00094B77"/>
    <w:rsid w:val="00095F62"/>
    <w:rsid w:val="000A0535"/>
    <w:rsid w:val="000A257B"/>
    <w:rsid w:val="000A4DEF"/>
    <w:rsid w:val="000A6154"/>
    <w:rsid w:val="000B10B4"/>
    <w:rsid w:val="000B3975"/>
    <w:rsid w:val="000B706B"/>
    <w:rsid w:val="000C0E6B"/>
    <w:rsid w:val="000C136D"/>
    <w:rsid w:val="000C1D48"/>
    <w:rsid w:val="000C2B99"/>
    <w:rsid w:val="000C48DB"/>
    <w:rsid w:val="000C53A3"/>
    <w:rsid w:val="000C5432"/>
    <w:rsid w:val="000D30D4"/>
    <w:rsid w:val="000D598E"/>
    <w:rsid w:val="000E002A"/>
    <w:rsid w:val="000E0B3F"/>
    <w:rsid w:val="000E156F"/>
    <w:rsid w:val="000E4FA4"/>
    <w:rsid w:val="000E64F2"/>
    <w:rsid w:val="000E7D12"/>
    <w:rsid w:val="000F2146"/>
    <w:rsid w:val="0010660B"/>
    <w:rsid w:val="00106B97"/>
    <w:rsid w:val="001078D9"/>
    <w:rsid w:val="00110085"/>
    <w:rsid w:val="001102CF"/>
    <w:rsid w:val="00114EF6"/>
    <w:rsid w:val="00115E88"/>
    <w:rsid w:val="00121805"/>
    <w:rsid w:val="001236C1"/>
    <w:rsid w:val="00126AAF"/>
    <w:rsid w:val="00127619"/>
    <w:rsid w:val="0013667C"/>
    <w:rsid w:val="001373A0"/>
    <w:rsid w:val="00137D00"/>
    <w:rsid w:val="00137F49"/>
    <w:rsid w:val="00140550"/>
    <w:rsid w:val="00146EC9"/>
    <w:rsid w:val="001527E2"/>
    <w:rsid w:val="00152F34"/>
    <w:rsid w:val="00153F70"/>
    <w:rsid w:val="0015470D"/>
    <w:rsid w:val="0016289F"/>
    <w:rsid w:val="00162D23"/>
    <w:rsid w:val="00167487"/>
    <w:rsid w:val="0017129A"/>
    <w:rsid w:val="00176105"/>
    <w:rsid w:val="00177AE0"/>
    <w:rsid w:val="0018503B"/>
    <w:rsid w:val="00187DE4"/>
    <w:rsid w:val="00190E66"/>
    <w:rsid w:val="0019694A"/>
    <w:rsid w:val="001A0B8E"/>
    <w:rsid w:val="001A10C7"/>
    <w:rsid w:val="001A3C44"/>
    <w:rsid w:val="001A4B13"/>
    <w:rsid w:val="001A4F2F"/>
    <w:rsid w:val="001A553C"/>
    <w:rsid w:val="001B1F7A"/>
    <w:rsid w:val="001B79D5"/>
    <w:rsid w:val="001C16A5"/>
    <w:rsid w:val="001C27D8"/>
    <w:rsid w:val="001C4C4B"/>
    <w:rsid w:val="001C5000"/>
    <w:rsid w:val="001C55A2"/>
    <w:rsid w:val="001C5D49"/>
    <w:rsid w:val="001C6FEA"/>
    <w:rsid w:val="001C7D52"/>
    <w:rsid w:val="001D381E"/>
    <w:rsid w:val="001D4948"/>
    <w:rsid w:val="001D6B07"/>
    <w:rsid w:val="001D73DB"/>
    <w:rsid w:val="001E206C"/>
    <w:rsid w:val="001E305B"/>
    <w:rsid w:val="001E35AE"/>
    <w:rsid w:val="001E4DA8"/>
    <w:rsid w:val="001E6188"/>
    <w:rsid w:val="001E7172"/>
    <w:rsid w:val="001E745A"/>
    <w:rsid w:val="001E7FEE"/>
    <w:rsid w:val="001F01C5"/>
    <w:rsid w:val="001F33C5"/>
    <w:rsid w:val="001F471F"/>
    <w:rsid w:val="001F6F11"/>
    <w:rsid w:val="00203F5C"/>
    <w:rsid w:val="0020620F"/>
    <w:rsid w:val="00220168"/>
    <w:rsid w:val="00220F74"/>
    <w:rsid w:val="00220F7E"/>
    <w:rsid w:val="00223655"/>
    <w:rsid w:val="002245E8"/>
    <w:rsid w:val="00224FB0"/>
    <w:rsid w:val="00225116"/>
    <w:rsid w:val="00227606"/>
    <w:rsid w:val="0023407F"/>
    <w:rsid w:val="002362A1"/>
    <w:rsid w:val="00237273"/>
    <w:rsid w:val="002413DE"/>
    <w:rsid w:val="00242B47"/>
    <w:rsid w:val="00243F34"/>
    <w:rsid w:val="00251C25"/>
    <w:rsid w:val="002525D5"/>
    <w:rsid w:val="00253F13"/>
    <w:rsid w:val="002555C2"/>
    <w:rsid w:val="00255BC4"/>
    <w:rsid w:val="00265D4C"/>
    <w:rsid w:val="002670D0"/>
    <w:rsid w:val="0026755F"/>
    <w:rsid w:val="0027606B"/>
    <w:rsid w:val="002766E3"/>
    <w:rsid w:val="002772EB"/>
    <w:rsid w:val="00280081"/>
    <w:rsid w:val="0028112A"/>
    <w:rsid w:val="00281919"/>
    <w:rsid w:val="00283238"/>
    <w:rsid w:val="0028636F"/>
    <w:rsid w:val="002869AD"/>
    <w:rsid w:val="002908E4"/>
    <w:rsid w:val="00290D32"/>
    <w:rsid w:val="0029236B"/>
    <w:rsid w:val="00294643"/>
    <w:rsid w:val="00297899"/>
    <w:rsid w:val="002A2F6F"/>
    <w:rsid w:val="002A39DA"/>
    <w:rsid w:val="002A69E2"/>
    <w:rsid w:val="002A775D"/>
    <w:rsid w:val="002B0466"/>
    <w:rsid w:val="002B2F5B"/>
    <w:rsid w:val="002C0FB1"/>
    <w:rsid w:val="002C427F"/>
    <w:rsid w:val="002C5AA6"/>
    <w:rsid w:val="002C7C57"/>
    <w:rsid w:val="002D4179"/>
    <w:rsid w:val="002D54A8"/>
    <w:rsid w:val="002E1582"/>
    <w:rsid w:val="002E2A63"/>
    <w:rsid w:val="002E590D"/>
    <w:rsid w:val="002E70FA"/>
    <w:rsid w:val="002E77AE"/>
    <w:rsid w:val="002F0F9E"/>
    <w:rsid w:val="002F4957"/>
    <w:rsid w:val="002F4FA6"/>
    <w:rsid w:val="002F537A"/>
    <w:rsid w:val="00303923"/>
    <w:rsid w:val="00311569"/>
    <w:rsid w:val="00311FCB"/>
    <w:rsid w:val="003123AA"/>
    <w:rsid w:val="00314A33"/>
    <w:rsid w:val="0032146C"/>
    <w:rsid w:val="00326FFE"/>
    <w:rsid w:val="00332FFE"/>
    <w:rsid w:val="00336853"/>
    <w:rsid w:val="003403A1"/>
    <w:rsid w:val="00342240"/>
    <w:rsid w:val="00344260"/>
    <w:rsid w:val="00344DDA"/>
    <w:rsid w:val="003515FE"/>
    <w:rsid w:val="003519AD"/>
    <w:rsid w:val="0035301B"/>
    <w:rsid w:val="00355981"/>
    <w:rsid w:val="00361737"/>
    <w:rsid w:val="003623E6"/>
    <w:rsid w:val="003659FA"/>
    <w:rsid w:val="00367BC3"/>
    <w:rsid w:val="0037273E"/>
    <w:rsid w:val="00373350"/>
    <w:rsid w:val="00373579"/>
    <w:rsid w:val="00374861"/>
    <w:rsid w:val="00374F30"/>
    <w:rsid w:val="00375D25"/>
    <w:rsid w:val="003762D6"/>
    <w:rsid w:val="003800E1"/>
    <w:rsid w:val="00382318"/>
    <w:rsid w:val="00382CC0"/>
    <w:rsid w:val="00383728"/>
    <w:rsid w:val="0039212B"/>
    <w:rsid w:val="00392555"/>
    <w:rsid w:val="00392A51"/>
    <w:rsid w:val="0039507B"/>
    <w:rsid w:val="0039688E"/>
    <w:rsid w:val="003A1B07"/>
    <w:rsid w:val="003A2050"/>
    <w:rsid w:val="003A5F85"/>
    <w:rsid w:val="003A6040"/>
    <w:rsid w:val="003A6DA4"/>
    <w:rsid w:val="003B1752"/>
    <w:rsid w:val="003B3A49"/>
    <w:rsid w:val="003B401A"/>
    <w:rsid w:val="003B6801"/>
    <w:rsid w:val="003C1744"/>
    <w:rsid w:val="003C3446"/>
    <w:rsid w:val="003C4A72"/>
    <w:rsid w:val="003C6BC3"/>
    <w:rsid w:val="003C6E1B"/>
    <w:rsid w:val="003C7B86"/>
    <w:rsid w:val="003D69FF"/>
    <w:rsid w:val="003D782F"/>
    <w:rsid w:val="003E3249"/>
    <w:rsid w:val="003E49AF"/>
    <w:rsid w:val="003E7CA6"/>
    <w:rsid w:val="003F1CF7"/>
    <w:rsid w:val="003F3B36"/>
    <w:rsid w:val="003F3B4E"/>
    <w:rsid w:val="003F65C8"/>
    <w:rsid w:val="00402E20"/>
    <w:rsid w:val="00403ABE"/>
    <w:rsid w:val="00403DBA"/>
    <w:rsid w:val="0040596D"/>
    <w:rsid w:val="00407BBD"/>
    <w:rsid w:val="00407E52"/>
    <w:rsid w:val="004113F4"/>
    <w:rsid w:val="00415388"/>
    <w:rsid w:val="00422B7F"/>
    <w:rsid w:val="00426614"/>
    <w:rsid w:val="00433EC1"/>
    <w:rsid w:val="004348D2"/>
    <w:rsid w:val="004379A7"/>
    <w:rsid w:val="00440389"/>
    <w:rsid w:val="0044385F"/>
    <w:rsid w:val="00443ADC"/>
    <w:rsid w:val="00444F48"/>
    <w:rsid w:val="00445F8F"/>
    <w:rsid w:val="00450CC0"/>
    <w:rsid w:val="0045258C"/>
    <w:rsid w:val="00453D77"/>
    <w:rsid w:val="0045715D"/>
    <w:rsid w:val="0046063F"/>
    <w:rsid w:val="00460E76"/>
    <w:rsid w:val="00460EBA"/>
    <w:rsid w:val="00461EE5"/>
    <w:rsid w:val="00467A0C"/>
    <w:rsid w:val="00470AD0"/>
    <w:rsid w:val="0047129E"/>
    <w:rsid w:val="00475884"/>
    <w:rsid w:val="00477039"/>
    <w:rsid w:val="00483B24"/>
    <w:rsid w:val="00483E60"/>
    <w:rsid w:val="0048531A"/>
    <w:rsid w:val="00486177"/>
    <w:rsid w:val="00486BEF"/>
    <w:rsid w:val="00490AF1"/>
    <w:rsid w:val="0049191D"/>
    <w:rsid w:val="00491F41"/>
    <w:rsid w:val="00493704"/>
    <w:rsid w:val="00495A1E"/>
    <w:rsid w:val="00497107"/>
    <w:rsid w:val="00497A6D"/>
    <w:rsid w:val="004A02EE"/>
    <w:rsid w:val="004A05AE"/>
    <w:rsid w:val="004A0F00"/>
    <w:rsid w:val="004A386A"/>
    <w:rsid w:val="004A463E"/>
    <w:rsid w:val="004A59E6"/>
    <w:rsid w:val="004A68DB"/>
    <w:rsid w:val="004A7374"/>
    <w:rsid w:val="004B0734"/>
    <w:rsid w:val="004B14D7"/>
    <w:rsid w:val="004C240C"/>
    <w:rsid w:val="004C3760"/>
    <w:rsid w:val="004C4D6F"/>
    <w:rsid w:val="004D2A9E"/>
    <w:rsid w:val="004D5ADC"/>
    <w:rsid w:val="004E0930"/>
    <w:rsid w:val="004E5E4C"/>
    <w:rsid w:val="004E7DAF"/>
    <w:rsid w:val="004F1EFB"/>
    <w:rsid w:val="004F262E"/>
    <w:rsid w:val="004F33FD"/>
    <w:rsid w:val="004F5409"/>
    <w:rsid w:val="00500A97"/>
    <w:rsid w:val="00500D1D"/>
    <w:rsid w:val="00503E7B"/>
    <w:rsid w:val="005063EC"/>
    <w:rsid w:val="00506728"/>
    <w:rsid w:val="005068CF"/>
    <w:rsid w:val="0050714F"/>
    <w:rsid w:val="00507574"/>
    <w:rsid w:val="00507D5E"/>
    <w:rsid w:val="005101ED"/>
    <w:rsid w:val="00510CF8"/>
    <w:rsid w:val="0051105D"/>
    <w:rsid w:val="00511F8D"/>
    <w:rsid w:val="00513EA3"/>
    <w:rsid w:val="00516B5D"/>
    <w:rsid w:val="00520DC8"/>
    <w:rsid w:val="00521902"/>
    <w:rsid w:val="00524689"/>
    <w:rsid w:val="00524C84"/>
    <w:rsid w:val="00525E0E"/>
    <w:rsid w:val="00526B8F"/>
    <w:rsid w:val="00526EB1"/>
    <w:rsid w:val="005276B8"/>
    <w:rsid w:val="00527900"/>
    <w:rsid w:val="00527B52"/>
    <w:rsid w:val="00532B7C"/>
    <w:rsid w:val="00541ECC"/>
    <w:rsid w:val="0054370D"/>
    <w:rsid w:val="00551E0B"/>
    <w:rsid w:val="00554AEE"/>
    <w:rsid w:val="00557E0E"/>
    <w:rsid w:val="00560068"/>
    <w:rsid w:val="00560C42"/>
    <w:rsid w:val="00563072"/>
    <w:rsid w:val="005640C1"/>
    <w:rsid w:val="005644F1"/>
    <w:rsid w:val="0056599C"/>
    <w:rsid w:val="00566C36"/>
    <w:rsid w:val="00566DF8"/>
    <w:rsid w:val="00566FD6"/>
    <w:rsid w:val="00567F1C"/>
    <w:rsid w:val="00570144"/>
    <w:rsid w:val="00573290"/>
    <w:rsid w:val="00573552"/>
    <w:rsid w:val="00575E36"/>
    <w:rsid w:val="005761E5"/>
    <w:rsid w:val="00576870"/>
    <w:rsid w:val="00576E68"/>
    <w:rsid w:val="00582584"/>
    <w:rsid w:val="005827FA"/>
    <w:rsid w:val="00582A36"/>
    <w:rsid w:val="00582F9F"/>
    <w:rsid w:val="00583DA1"/>
    <w:rsid w:val="00585C45"/>
    <w:rsid w:val="00587B8F"/>
    <w:rsid w:val="00590632"/>
    <w:rsid w:val="00590E13"/>
    <w:rsid w:val="005911C4"/>
    <w:rsid w:val="00592445"/>
    <w:rsid w:val="005927BA"/>
    <w:rsid w:val="0059429E"/>
    <w:rsid w:val="00597B38"/>
    <w:rsid w:val="005A1EB4"/>
    <w:rsid w:val="005A283E"/>
    <w:rsid w:val="005A3534"/>
    <w:rsid w:val="005A37F2"/>
    <w:rsid w:val="005A396A"/>
    <w:rsid w:val="005A6013"/>
    <w:rsid w:val="005A73C5"/>
    <w:rsid w:val="005B185F"/>
    <w:rsid w:val="005B521C"/>
    <w:rsid w:val="005B7945"/>
    <w:rsid w:val="005C279F"/>
    <w:rsid w:val="005C4C72"/>
    <w:rsid w:val="005C587C"/>
    <w:rsid w:val="005D06D8"/>
    <w:rsid w:val="005D2C7F"/>
    <w:rsid w:val="005D6288"/>
    <w:rsid w:val="005E39DF"/>
    <w:rsid w:val="005E454E"/>
    <w:rsid w:val="005E5333"/>
    <w:rsid w:val="005E5D5F"/>
    <w:rsid w:val="005E7B0E"/>
    <w:rsid w:val="005E7CB2"/>
    <w:rsid w:val="005F1BC4"/>
    <w:rsid w:val="005F7B8D"/>
    <w:rsid w:val="00602D77"/>
    <w:rsid w:val="00604AFE"/>
    <w:rsid w:val="00612345"/>
    <w:rsid w:val="00616E8A"/>
    <w:rsid w:val="00626B19"/>
    <w:rsid w:val="0063495E"/>
    <w:rsid w:val="006368E9"/>
    <w:rsid w:val="006369C1"/>
    <w:rsid w:val="00637B6D"/>
    <w:rsid w:val="006400E4"/>
    <w:rsid w:val="006438CE"/>
    <w:rsid w:val="006454D6"/>
    <w:rsid w:val="0064613A"/>
    <w:rsid w:val="0065243C"/>
    <w:rsid w:val="006526EA"/>
    <w:rsid w:val="00652C1F"/>
    <w:rsid w:val="00655B13"/>
    <w:rsid w:val="00656EA1"/>
    <w:rsid w:val="006606A3"/>
    <w:rsid w:val="00662A23"/>
    <w:rsid w:val="0066372A"/>
    <w:rsid w:val="00665A40"/>
    <w:rsid w:val="00671D5C"/>
    <w:rsid w:val="006728BD"/>
    <w:rsid w:val="00672EEB"/>
    <w:rsid w:val="0068197F"/>
    <w:rsid w:val="006840E7"/>
    <w:rsid w:val="0068600E"/>
    <w:rsid w:val="00686080"/>
    <w:rsid w:val="00691A83"/>
    <w:rsid w:val="00693252"/>
    <w:rsid w:val="00694E5D"/>
    <w:rsid w:val="00695B76"/>
    <w:rsid w:val="00695D1C"/>
    <w:rsid w:val="006964CD"/>
    <w:rsid w:val="006964DA"/>
    <w:rsid w:val="006A09E9"/>
    <w:rsid w:val="006A44DF"/>
    <w:rsid w:val="006A629F"/>
    <w:rsid w:val="006B0741"/>
    <w:rsid w:val="006B1671"/>
    <w:rsid w:val="006B42B2"/>
    <w:rsid w:val="006B4F55"/>
    <w:rsid w:val="006B5B86"/>
    <w:rsid w:val="006B66F8"/>
    <w:rsid w:val="006C34E2"/>
    <w:rsid w:val="006C3535"/>
    <w:rsid w:val="006C3AE3"/>
    <w:rsid w:val="006C4520"/>
    <w:rsid w:val="006C4744"/>
    <w:rsid w:val="006C4876"/>
    <w:rsid w:val="006C7D66"/>
    <w:rsid w:val="006E2FF8"/>
    <w:rsid w:val="006E4922"/>
    <w:rsid w:val="006E4C58"/>
    <w:rsid w:val="006E545B"/>
    <w:rsid w:val="006F2738"/>
    <w:rsid w:val="006F38D5"/>
    <w:rsid w:val="006F6101"/>
    <w:rsid w:val="00700926"/>
    <w:rsid w:val="007009C0"/>
    <w:rsid w:val="007013C3"/>
    <w:rsid w:val="00702C50"/>
    <w:rsid w:val="007141CC"/>
    <w:rsid w:val="00714F23"/>
    <w:rsid w:val="0071644D"/>
    <w:rsid w:val="00716D7D"/>
    <w:rsid w:val="007216B3"/>
    <w:rsid w:val="00727E26"/>
    <w:rsid w:val="007322FD"/>
    <w:rsid w:val="00732430"/>
    <w:rsid w:val="007349DC"/>
    <w:rsid w:val="00734C2C"/>
    <w:rsid w:val="00737557"/>
    <w:rsid w:val="00737A70"/>
    <w:rsid w:val="007412F3"/>
    <w:rsid w:val="007414B4"/>
    <w:rsid w:val="00741906"/>
    <w:rsid w:val="00742958"/>
    <w:rsid w:val="00746463"/>
    <w:rsid w:val="007472A9"/>
    <w:rsid w:val="0075416F"/>
    <w:rsid w:val="00756AF9"/>
    <w:rsid w:val="00763023"/>
    <w:rsid w:val="007649D3"/>
    <w:rsid w:val="00765615"/>
    <w:rsid w:val="007669F3"/>
    <w:rsid w:val="00770CEA"/>
    <w:rsid w:val="007728FB"/>
    <w:rsid w:val="00772C33"/>
    <w:rsid w:val="00773DB6"/>
    <w:rsid w:val="00775927"/>
    <w:rsid w:val="00775E37"/>
    <w:rsid w:val="00786F2B"/>
    <w:rsid w:val="00791CFB"/>
    <w:rsid w:val="007936B1"/>
    <w:rsid w:val="00797146"/>
    <w:rsid w:val="007A0403"/>
    <w:rsid w:val="007A10B3"/>
    <w:rsid w:val="007A3D30"/>
    <w:rsid w:val="007B2F30"/>
    <w:rsid w:val="007B42B8"/>
    <w:rsid w:val="007B75E0"/>
    <w:rsid w:val="007B78E8"/>
    <w:rsid w:val="007C2DBC"/>
    <w:rsid w:val="007C367C"/>
    <w:rsid w:val="007C4582"/>
    <w:rsid w:val="007C4EFA"/>
    <w:rsid w:val="007C5364"/>
    <w:rsid w:val="007C7570"/>
    <w:rsid w:val="007D01E3"/>
    <w:rsid w:val="007D2EE7"/>
    <w:rsid w:val="007D5A12"/>
    <w:rsid w:val="007D5F51"/>
    <w:rsid w:val="007D690C"/>
    <w:rsid w:val="007D78B9"/>
    <w:rsid w:val="007E24E9"/>
    <w:rsid w:val="007E7C42"/>
    <w:rsid w:val="007F1F84"/>
    <w:rsid w:val="007F3173"/>
    <w:rsid w:val="007F3788"/>
    <w:rsid w:val="00800A0C"/>
    <w:rsid w:val="008010B6"/>
    <w:rsid w:val="00801A8C"/>
    <w:rsid w:val="008028BA"/>
    <w:rsid w:val="008063DC"/>
    <w:rsid w:val="008107CF"/>
    <w:rsid w:val="00810BB3"/>
    <w:rsid w:val="00811241"/>
    <w:rsid w:val="00814D74"/>
    <w:rsid w:val="00820CB8"/>
    <w:rsid w:val="00821419"/>
    <w:rsid w:val="00824C55"/>
    <w:rsid w:val="008254CC"/>
    <w:rsid w:val="00825A50"/>
    <w:rsid w:val="00825D48"/>
    <w:rsid w:val="0083239E"/>
    <w:rsid w:val="00834376"/>
    <w:rsid w:val="00844E0F"/>
    <w:rsid w:val="00845355"/>
    <w:rsid w:val="00845C28"/>
    <w:rsid w:val="00852088"/>
    <w:rsid w:val="00853179"/>
    <w:rsid w:val="00854752"/>
    <w:rsid w:val="00860898"/>
    <w:rsid w:val="00864CD9"/>
    <w:rsid w:val="00865AD1"/>
    <w:rsid w:val="008702C4"/>
    <w:rsid w:val="00871456"/>
    <w:rsid w:val="00871629"/>
    <w:rsid w:val="00871AC5"/>
    <w:rsid w:val="00871F04"/>
    <w:rsid w:val="008735CC"/>
    <w:rsid w:val="00875D92"/>
    <w:rsid w:val="00875F37"/>
    <w:rsid w:val="0087741E"/>
    <w:rsid w:val="0087749A"/>
    <w:rsid w:val="008779C9"/>
    <w:rsid w:val="0088184F"/>
    <w:rsid w:val="00882D28"/>
    <w:rsid w:val="008833DE"/>
    <w:rsid w:val="008857EE"/>
    <w:rsid w:val="00887B57"/>
    <w:rsid w:val="00891C5E"/>
    <w:rsid w:val="00892D12"/>
    <w:rsid w:val="008958A1"/>
    <w:rsid w:val="00895D47"/>
    <w:rsid w:val="00897AA9"/>
    <w:rsid w:val="00897AEA"/>
    <w:rsid w:val="008A179C"/>
    <w:rsid w:val="008A254E"/>
    <w:rsid w:val="008A25E8"/>
    <w:rsid w:val="008A37D6"/>
    <w:rsid w:val="008A75FA"/>
    <w:rsid w:val="008B00AD"/>
    <w:rsid w:val="008B1AFF"/>
    <w:rsid w:val="008B2011"/>
    <w:rsid w:val="008B223E"/>
    <w:rsid w:val="008B22C4"/>
    <w:rsid w:val="008B303F"/>
    <w:rsid w:val="008B41B0"/>
    <w:rsid w:val="008B601F"/>
    <w:rsid w:val="008C0D48"/>
    <w:rsid w:val="008C2A93"/>
    <w:rsid w:val="008C3711"/>
    <w:rsid w:val="008C57D4"/>
    <w:rsid w:val="008C6279"/>
    <w:rsid w:val="008C6DA5"/>
    <w:rsid w:val="008D0ABE"/>
    <w:rsid w:val="008D0C42"/>
    <w:rsid w:val="008D584C"/>
    <w:rsid w:val="008E15D8"/>
    <w:rsid w:val="008E3758"/>
    <w:rsid w:val="008E547F"/>
    <w:rsid w:val="008E7C6B"/>
    <w:rsid w:val="008E7F07"/>
    <w:rsid w:val="008F0973"/>
    <w:rsid w:val="008F6CBE"/>
    <w:rsid w:val="00903FD8"/>
    <w:rsid w:val="00905EB6"/>
    <w:rsid w:val="00907236"/>
    <w:rsid w:val="0090765A"/>
    <w:rsid w:val="00907890"/>
    <w:rsid w:val="009120C1"/>
    <w:rsid w:val="00913E45"/>
    <w:rsid w:val="00914080"/>
    <w:rsid w:val="00914120"/>
    <w:rsid w:val="009142B6"/>
    <w:rsid w:val="009165C1"/>
    <w:rsid w:val="00921AB2"/>
    <w:rsid w:val="00922BAA"/>
    <w:rsid w:val="00930D22"/>
    <w:rsid w:val="009322F1"/>
    <w:rsid w:val="009369B0"/>
    <w:rsid w:val="00936B89"/>
    <w:rsid w:val="0093767B"/>
    <w:rsid w:val="00937AA8"/>
    <w:rsid w:val="00937F87"/>
    <w:rsid w:val="00940E23"/>
    <w:rsid w:val="0095103B"/>
    <w:rsid w:val="00952744"/>
    <w:rsid w:val="009546E5"/>
    <w:rsid w:val="0096116E"/>
    <w:rsid w:val="00961797"/>
    <w:rsid w:val="00961D54"/>
    <w:rsid w:val="00961FDD"/>
    <w:rsid w:val="009656A0"/>
    <w:rsid w:val="00967918"/>
    <w:rsid w:val="00970E41"/>
    <w:rsid w:val="009728AF"/>
    <w:rsid w:val="00975901"/>
    <w:rsid w:val="00975DCF"/>
    <w:rsid w:val="00976521"/>
    <w:rsid w:val="00982302"/>
    <w:rsid w:val="00982730"/>
    <w:rsid w:val="00982847"/>
    <w:rsid w:val="00982958"/>
    <w:rsid w:val="00982E26"/>
    <w:rsid w:val="00984905"/>
    <w:rsid w:val="00984C42"/>
    <w:rsid w:val="00986DCE"/>
    <w:rsid w:val="00991C28"/>
    <w:rsid w:val="0099638C"/>
    <w:rsid w:val="00997C53"/>
    <w:rsid w:val="009A0392"/>
    <w:rsid w:val="009A4212"/>
    <w:rsid w:val="009A5EDC"/>
    <w:rsid w:val="009A63DC"/>
    <w:rsid w:val="009A669A"/>
    <w:rsid w:val="009B2917"/>
    <w:rsid w:val="009B37B0"/>
    <w:rsid w:val="009B59F4"/>
    <w:rsid w:val="009C60E1"/>
    <w:rsid w:val="009D5133"/>
    <w:rsid w:val="009D6AC0"/>
    <w:rsid w:val="009D7DC3"/>
    <w:rsid w:val="009E0BA8"/>
    <w:rsid w:val="009E440F"/>
    <w:rsid w:val="009E68D8"/>
    <w:rsid w:val="00A02BF6"/>
    <w:rsid w:val="00A04BB0"/>
    <w:rsid w:val="00A076A0"/>
    <w:rsid w:val="00A110E9"/>
    <w:rsid w:val="00A12388"/>
    <w:rsid w:val="00A1322C"/>
    <w:rsid w:val="00A21B37"/>
    <w:rsid w:val="00A221F9"/>
    <w:rsid w:val="00A25589"/>
    <w:rsid w:val="00A26BBB"/>
    <w:rsid w:val="00A34981"/>
    <w:rsid w:val="00A34CE4"/>
    <w:rsid w:val="00A34E07"/>
    <w:rsid w:val="00A408D1"/>
    <w:rsid w:val="00A40FEC"/>
    <w:rsid w:val="00A44DFD"/>
    <w:rsid w:val="00A45911"/>
    <w:rsid w:val="00A4656C"/>
    <w:rsid w:val="00A47541"/>
    <w:rsid w:val="00A50FE9"/>
    <w:rsid w:val="00A51002"/>
    <w:rsid w:val="00A52B36"/>
    <w:rsid w:val="00A54F15"/>
    <w:rsid w:val="00A625EE"/>
    <w:rsid w:val="00A6440B"/>
    <w:rsid w:val="00A65BDE"/>
    <w:rsid w:val="00A70881"/>
    <w:rsid w:val="00A71A10"/>
    <w:rsid w:val="00A72527"/>
    <w:rsid w:val="00A742E7"/>
    <w:rsid w:val="00A764AC"/>
    <w:rsid w:val="00A80361"/>
    <w:rsid w:val="00A83519"/>
    <w:rsid w:val="00A862FE"/>
    <w:rsid w:val="00A92608"/>
    <w:rsid w:val="00A96BCA"/>
    <w:rsid w:val="00A9728D"/>
    <w:rsid w:val="00A978FC"/>
    <w:rsid w:val="00AA0D9D"/>
    <w:rsid w:val="00AA108B"/>
    <w:rsid w:val="00AA504C"/>
    <w:rsid w:val="00AA7032"/>
    <w:rsid w:val="00AB1504"/>
    <w:rsid w:val="00AB236E"/>
    <w:rsid w:val="00AB296C"/>
    <w:rsid w:val="00AB5C04"/>
    <w:rsid w:val="00AC2065"/>
    <w:rsid w:val="00AC21BA"/>
    <w:rsid w:val="00AC2582"/>
    <w:rsid w:val="00AC5FB5"/>
    <w:rsid w:val="00AC61F9"/>
    <w:rsid w:val="00AC6E1E"/>
    <w:rsid w:val="00AD0A0D"/>
    <w:rsid w:val="00AD0B72"/>
    <w:rsid w:val="00AD29D6"/>
    <w:rsid w:val="00AD3808"/>
    <w:rsid w:val="00AD3D02"/>
    <w:rsid w:val="00AE00B7"/>
    <w:rsid w:val="00AE0B23"/>
    <w:rsid w:val="00AE1AB1"/>
    <w:rsid w:val="00AE5BFE"/>
    <w:rsid w:val="00AE69B9"/>
    <w:rsid w:val="00AE7968"/>
    <w:rsid w:val="00AF0709"/>
    <w:rsid w:val="00AF3036"/>
    <w:rsid w:val="00AF47FC"/>
    <w:rsid w:val="00B032D1"/>
    <w:rsid w:val="00B06A96"/>
    <w:rsid w:val="00B1308A"/>
    <w:rsid w:val="00B13655"/>
    <w:rsid w:val="00B1460F"/>
    <w:rsid w:val="00B1487A"/>
    <w:rsid w:val="00B14F7E"/>
    <w:rsid w:val="00B15585"/>
    <w:rsid w:val="00B16BBC"/>
    <w:rsid w:val="00B170CD"/>
    <w:rsid w:val="00B27A47"/>
    <w:rsid w:val="00B32626"/>
    <w:rsid w:val="00B3269D"/>
    <w:rsid w:val="00B3452A"/>
    <w:rsid w:val="00B35BC5"/>
    <w:rsid w:val="00B416FF"/>
    <w:rsid w:val="00B449F7"/>
    <w:rsid w:val="00B44C04"/>
    <w:rsid w:val="00B44D7A"/>
    <w:rsid w:val="00B455AE"/>
    <w:rsid w:val="00B55179"/>
    <w:rsid w:val="00B561B8"/>
    <w:rsid w:val="00B60184"/>
    <w:rsid w:val="00B641EB"/>
    <w:rsid w:val="00B66617"/>
    <w:rsid w:val="00B70126"/>
    <w:rsid w:val="00B81EE0"/>
    <w:rsid w:val="00B86F0F"/>
    <w:rsid w:val="00B910C0"/>
    <w:rsid w:val="00B91334"/>
    <w:rsid w:val="00B91361"/>
    <w:rsid w:val="00B91AF5"/>
    <w:rsid w:val="00B91E41"/>
    <w:rsid w:val="00B92850"/>
    <w:rsid w:val="00B9320E"/>
    <w:rsid w:val="00B93298"/>
    <w:rsid w:val="00B95479"/>
    <w:rsid w:val="00BA2006"/>
    <w:rsid w:val="00BA203E"/>
    <w:rsid w:val="00BA3885"/>
    <w:rsid w:val="00BB219D"/>
    <w:rsid w:val="00BB29DD"/>
    <w:rsid w:val="00BB33B8"/>
    <w:rsid w:val="00BB658F"/>
    <w:rsid w:val="00BB71C6"/>
    <w:rsid w:val="00BC1EEE"/>
    <w:rsid w:val="00BC3507"/>
    <w:rsid w:val="00BC35D2"/>
    <w:rsid w:val="00BC4148"/>
    <w:rsid w:val="00BC6BCC"/>
    <w:rsid w:val="00BC7402"/>
    <w:rsid w:val="00BC76E4"/>
    <w:rsid w:val="00BD5CB6"/>
    <w:rsid w:val="00BD6B23"/>
    <w:rsid w:val="00BE657E"/>
    <w:rsid w:val="00BF14FF"/>
    <w:rsid w:val="00BF1EF4"/>
    <w:rsid w:val="00BF30FF"/>
    <w:rsid w:val="00BF539F"/>
    <w:rsid w:val="00C0079A"/>
    <w:rsid w:val="00C00D37"/>
    <w:rsid w:val="00C0279D"/>
    <w:rsid w:val="00C0280D"/>
    <w:rsid w:val="00C03076"/>
    <w:rsid w:val="00C04E05"/>
    <w:rsid w:val="00C04FB9"/>
    <w:rsid w:val="00C15D31"/>
    <w:rsid w:val="00C164B5"/>
    <w:rsid w:val="00C16B04"/>
    <w:rsid w:val="00C17340"/>
    <w:rsid w:val="00C17586"/>
    <w:rsid w:val="00C2010A"/>
    <w:rsid w:val="00C207C2"/>
    <w:rsid w:val="00C21210"/>
    <w:rsid w:val="00C21E6D"/>
    <w:rsid w:val="00C270C3"/>
    <w:rsid w:val="00C3496A"/>
    <w:rsid w:val="00C3626E"/>
    <w:rsid w:val="00C36B8E"/>
    <w:rsid w:val="00C40CDA"/>
    <w:rsid w:val="00C418BE"/>
    <w:rsid w:val="00C43DDA"/>
    <w:rsid w:val="00C4449B"/>
    <w:rsid w:val="00C44F15"/>
    <w:rsid w:val="00C44FFB"/>
    <w:rsid w:val="00C46497"/>
    <w:rsid w:val="00C47B90"/>
    <w:rsid w:val="00C52767"/>
    <w:rsid w:val="00C547EE"/>
    <w:rsid w:val="00C60AAE"/>
    <w:rsid w:val="00C60EFF"/>
    <w:rsid w:val="00C62BF1"/>
    <w:rsid w:val="00C638CF"/>
    <w:rsid w:val="00C64B70"/>
    <w:rsid w:val="00C67842"/>
    <w:rsid w:val="00C700D8"/>
    <w:rsid w:val="00C70F38"/>
    <w:rsid w:val="00C74038"/>
    <w:rsid w:val="00C74247"/>
    <w:rsid w:val="00C7582B"/>
    <w:rsid w:val="00C76F0E"/>
    <w:rsid w:val="00C8523B"/>
    <w:rsid w:val="00C85A82"/>
    <w:rsid w:val="00C85EFB"/>
    <w:rsid w:val="00C90622"/>
    <w:rsid w:val="00C90A9F"/>
    <w:rsid w:val="00C912BF"/>
    <w:rsid w:val="00C91458"/>
    <w:rsid w:val="00C932D3"/>
    <w:rsid w:val="00C93473"/>
    <w:rsid w:val="00C93B5E"/>
    <w:rsid w:val="00C9522B"/>
    <w:rsid w:val="00C959D1"/>
    <w:rsid w:val="00C9665D"/>
    <w:rsid w:val="00CB4BBF"/>
    <w:rsid w:val="00CB55FC"/>
    <w:rsid w:val="00CB57F5"/>
    <w:rsid w:val="00CC1B10"/>
    <w:rsid w:val="00CC1F31"/>
    <w:rsid w:val="00CC318C"/>
    <w:rsid w:val="00CC434D"/>
    <w:rsid w:val="00CC4CD5"/>
    <w:rsid w:val="00CD037E"/>
    <w:rsid w:val="00CD13E2"/>
    <w:rsid w:val="00CD44B1"/>
    <w:rsid w:val="00CD4BB1"/>
    <w:rsid w:val="00CD62BD"/>
    <w:rsid w:val="00CD71B1"/>
    <w:rsid w:val="00CE4733"/>
    <w:rsid w:val="00CE4869"/>
    <w:rsid w:val="00CE6F8F"/>
    <w:rsid w:val="00CE7674"/>
    <w:rsid w:val="00CF3A53"/>
    <w:rsid w:val="00CF4869"/>
    <w:rsid w:val="00CF78CF"/>
    <w:rsid w:val="00D02C68"/>
    <w:rsid w:val="00D04C4F"/>
    <w:rsid w:val="00D052C3"/>
    <w:rsid w:val="00D1721E"/>
    <w:rsid w:val="00D17E6F"/>
    <w:rsid w:val="00D206B0"/>
    <w:rsid w:val="00D2209B"/>
    <w:rsid w:val="00D31AF5"/>
    <w:rsid w:val="00D348BE"/>
    <w:rsid w:val="00D3701A"/>
    <w:rsid w:val="00D421F3"/>
    <w:rsid w:val="00D43981"/>
    <w:rsid w:val="00D46A7D"/>
    <w:rsid w:val="00D46DBA"/>
    <w:rsid w:val="00D5214B"/>
    <w:rsid w:val="00D56C25"/>
    <w:rsid w:val="00D572AD"/>
    <w:rsid w:val="00D65E95"/>
    <w:rsid w:val="00D70669"/>
    <w:rsid w:val="00D7322D"/>
    <w:rsid w:val="00D75802"/>
    <w:rsid w:val="00D75BFC"/>
    <w:rsid w:val="00D772D8"/>
    <w:rsid w:val="00D82EE7"/>
    <w:rsid w:val="00D84A01"/>
    <w:rsid w:val="00D93470"/>
    <w:rsid w:val="00D943F6"/>
    <w:rsid w:val="00D97209"/>
    <w:rsid w:val="00D97F19"/>
    <w:rsid w:val="00DA065C"/>
    <w:rsid w:val="00DA25F9"/>
    <w:rsid w:val="00DA429D"/>
    <w:rsid w:val="00DB0ED1"/>
    <w:rsid w:val="00DB2DCD"/>
    <w:rsid w:val="00DB4E06"/>
    <w:rsid w:val="00DB4ECB"/>
    <w:rsid w:val="00DB5970"/>
    <w:rsid w:val="00DB7ABF"/>
    <w:rsid w:val="00DC041E"/>
    <w:rsid w:val="00DD092C"/>
    <w:rsid w:val="00DD0934"/>
    <w:rsid w:val="00DD11BC"/>
    <w:rsid w:val="00DE16D3"/>
    <w:rsid w:val="00DE4884"/>
    <w:rsid w:val="00DE5C22"/>
    <w:rsid w:val="00DE72B0"/>
    <w:rsid w:val="00DF1924"/>
    <w:rsid w:val="00DF4517"/>
    <w:rsid w:val="00DF7874"/>
    <w:rsid w:val="00DF78D0"/>
    <w:rsid w:val="00E007DB"/>
    <w:rsid w:val="00E0210E"/>
    <w:rsid w:val="00E04EDC"/>
    <w:rsid w:val="00E0506A"/>
    <w:rsid w:val="00E055A2"/>
    <w:rsid w:val="00E0568A"/>
    <w:rsid w:val="00E0747A"/>
    <w:rsid w:val="00E075B9"/>
    <w:rsid w:val="00E07F8A"/>
    <w:rsid w:val="00E11A95"/>
    <w:rsid w:val="00E1302E"/>
    <w:rsid w:val="00E13209"/>
    <w:rsid w:val="00E1723F"/>
    <w:rsid w:val="00E220FC"/>
    <w:rsid w:val="00E22182"/>
    <w:rsid w:val="00E24789"/>
    <w:rsid w:val="00E257B9"/>
    <w:rsid w:val="00E26EE0"/>
    <w:rsid w:val="00E32E80"/>
    <w:rsid w:val="00E34566"/>
    <w:rsid w:val="00E35A54"/>
    <w:rsid w:val="00E35BD5"/>
    <w:rsid w:val="00E4071C"/>
    <w:rsid w:val="00E47899"/>
    <w:rsid w:val="00E47BEA"/>
    <w:rsid w:val="00E51997"/>
    <w:rsid w:val="00E558D8"/>
    <w:rsid w:val="00E602C2"/>
    <w:rsid w:val="00E61F8E"/>
    <w:rsid w:val="00E625EF"/>
    <w:rsid w:val="00E64F7E"/>
    <w:rsid w:val="00E6589A"/>
    <w:rsid w:val="00E6710B"/>
    <w:rsid w:val="00E71644"/>
    <w:rsid w:val="00E72734"/>
    <w:rsid w:val="00E73170"/>
    <w:rsid w:val="00E74EE9"/>
    <w:rsid w:val="00E77208"/>
    <w:rsid w:val="00E7786C"/>
    <w:rsid w:val="00E80212"/>
    <w:rsid w:val="00E804F5"/>
    <w:rsid w:val="00E82812"/>
    <w:rsid w:val="00E84DD3"/>
    <w:rsid w:val="00E8535F"/>
    <w:rsid w:val="00E90A13"/>
    <w:rsid w:val="00E91378"/>
    <w:rsid w:val="00E91C04"/>
    <w:rsid w:val="00E92BFA"/>
    <w:rsid w:val="00E955A3"/>
    <w:rsid w:val="00E97D50"/>
    <w:rsid w:val="00EA1D7F"/>
    <w:rsid w:val="00EA51FA"/>
    <w:rsid w:val="00EA6637"/>
    <w:rsid w:val="00EA77A2"/>
    <w:rsid w:val="00EB1198"/>
    <w:rsid w:val="00EB358D"/>
    <w:rsid w:val="00EB3CC1"/>
    <w:rsid w:val="00EB3F2D"/>
    <w:rsid w:val="00EB59E3"/>
    <w:rsid w:val="00EB6291"/>
    <w:rsid w:val="00EC09FC"/>
    <w:rsid w:val="00EC3471"/>
    <w:rsid w:val="00ED222C"/>
    <w:rsid w:val="00ED2FCD"/>
    <w:rsid w:val="00ED3047"/>
    <w:rsid w:val="00ED36E5"/>
    <w:rsid w:val="00ED4A03"/>
    <w:rsid w:val="00ED6B96"/>
    <w:rsid w:val="00EE1D52"/>
    <w:rsid w:val="00EE3671"/>
    <w:rsid w:val="00EE3768"/>
    <w:rsid w:val="00EE470D"/>
    <w:rsid w:val="00EE51CD"/>
    <w:rsid w:val="00EE5614"/>
    <w:rsid w:val="00EE68C0"/>
    <w:rsid w:val="00EE797E"/>
    <w:rsid w:val="00EF7B20"/>
    <w:rsid w:val="00F00305"/>
    <w:rsid w:val="00F03CF1"/>
    <w:rsid w:val="00F05723"/>
    <w:rsid w:val="00F057AF"/>
    <w:rsid w:val="00F05818"/>
    <w:rsid w:val="00F10FA4"/>
    <w:rsid w:val="00F114A9"/>
    <w:rsid w:val="00F129D8"/>
    <w:rsid w:val="00F13646"/>
    <w:rsid w:val="00F15337"/>
    <w:rsid w:val="00F17730"/>
    <w:rsid w:val="00F21754"/>
    <w:rsid w:val="00F21DDD"/>
    <w:rsid w:val="00F265A9"/>
    <w:rsid w:val="00F27208"/>
    <w:rsid w:val="00F31726"/>
    <w:rsid w:val="00F353B2"/>
    <w:rsid w:val="00F3546B"/>
    <w:rsid w:val="00F40FD3"/>
    <w:rsid w:val="00F42333"/>
    <w:rsid w:val="00F42EFE"/>
    <w:rsid w:val="00F444BA"/>
    <w:rsid w:val="00F45925"/>
    <w:rsid w:val="00F45DF2"/>
    <w:rsid w:val="00F4618D"/>
    <w:rsid w:val="00F467CA"/>
    <w:rsid w:val="00F5059C"/>
    <w:rsid w:val="00F51297"/>
    <w:rsid w:val="00F5249C"/>
    <w:rsid w:val="00F52D37"/>
    <w:rsid w:val="00F53FEC"/>
    <w:rsid w:val="00F546CE"/>
    <w:rsid w:val="00F57B99"/>
    <w:rsid w:val="00F60F3F"/>
    <w:rsid w:val="00F61D3E"/>
    <w:rsid w:val="00F62DD9"/>
    <w:rsid w:val="00F631FE"/>
    <w:rsid w:val="00F76A0B"/>
    <w:rsid w:val="00F80527"/>
    <w:rsid w:val="00F80ED7"/>
    <w:rsid w:val="00F8404A"/>
    <w:rsid w:val="00F86448"/>
    <w:rsid w:val="00F8748F"/>
    <w:rsid w:val="00F87867"/>
    <w:rsid w:val="00F90CF1"/>
    <w:rsid w:val="00F90FEF"/>
    <w:rsid w:val="00F920C6"/>
    <w:rsid w:val="00F94D5F"/>
    <w:rsid w:val="00FA0440"/>
    <w:rsid w:val="00FA0B70"/>
    <w:rsid w:val="00FA0C09"/>
    <w:rsid w:val="00FA3D08"/>
    <w:rsid w:val="00FA3D0E"/>
    <w:rsid w:val="00FA631B"/>
    <w:rsid w:val="00FA6A88"/>
    <w:rsid w:val="00FA6D76"/>
    <w:rsid w:val="00FB0B73"/>
    <w:rsid w:val="00FB1CD8"/>
    <w:rsid w:val="00FB2BC0"/>
    <w:rsid w:val="00FB373E"/>
    <w:rsid w:val="00FB539B"/>
    <w:rsid w:val="00FC4992"/>
    <w:rsid w:val="00FC4B7F"/>
    <w:rsid w:val="00FC52AC"/>
    <w:rsid w:val="00FC7094"/>
    <w:rsid w:val="00FC7134"/>
    <w:rsid w:val="00FD2E34"/>
    <w:rsid w:val="00FD35E0"/>
    <w:rsid w:val="00FD3889"/>
    <w:rsid w:val="00FD3D28"/>
    <w:rsid w:val="00FD3D50"/>
    <w:rsid w:val="00FD4177"/>
    <w:rsid w:val="00FD5860"/>
    <w:rsid w:val="00FD62CF"/>
    <w:rsid w:val="00FD6ABB"/>
    <w:rsid w:val="00FE1BF9"/>
    <w:rsid w:val="00FE1F96"/>
    <w:rsid w:val="00FE31A3"/>
    <w:rsid w:val="00FE38E8"/>
    <w:rsid w:val="00FE57E4"/>
    <w:rsid w:val="00FF00A7"/>
    <w:rsid w:val="00FF20E9"/>
    <w:rsid w:val="00FF2BB6"/>
    <w:rsid w:val="00FF402A"/>
    <w:rsid w:val="00FF5FEC"/>
  </w:rsids>
  <m:mathPr>
    <m:mathFont m:val="Cambria Math"/>
    <m:brkBin m:val="before"/>
    <m:brkBinSub m:val="--"/>
    <m:smallFrac m:val="0"/>
    <m:dispDef/>
    <m:lMargin m:val="0"/>
    <m:rMargin m:val="0"/>
    <m:defJc m:val="centerGroup"/>
    <m:wrapIndent m:val="1440"/>
    <m:intLim m:val="subSup"/>
    <m:naryLim m:val="undOvr"/>
  </m:mathPr>
  <w:themeFontLang w:val="en-ZA"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07D72575"/>
  <w15:docId w15:val="{C9E8D3C7-9004-3E4A-B45F-52B3D1A660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ZA"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937AA8"/>
    <w:rPr>
      <w:rFonts w:ascii="Times New Roman" w:eastAsia="Times New Roman" w:hAnsi="Times New Roman" w:cs="Times New Roman"/>
    </w:rPr>
  </w:style>
  <w:style w:type="paragraph" w:styleId="Heading1">
    <w:name w:val="heading 1"/>
    <w:basedOn w:val="Normal"/>
    <w:next w:val="Normal"/>
    <w:link w:val="Heading1Char"/>
    <w:uiPriority w:val="9"/>
    <w:qFormat/>
    <w:rsid w:val="00510CF8"/>
    <w:pPr>
      <w:keepNext/>
      <w:keepLines/>
      <w:spacing w:before="240"/>
      <w:outlineLvl w:val="0"/>
    </w:pPr>
    <w:rPr>
      <w:rFonts w:asciiTheme="majorHAnsi" w:eastAsiaTheme="majorEastAsia" w:hAnsiTheme="majorHAnsi" w:cstheme="majorBidi"/>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D31AF5"/>
    <w:pPr>
      <w:spacing w:before="100" w:beforeAutospacing="1" w:after="100" w:afterAutospacing="1"/>
    </w:pPr>
    <w:rPr>
      <w:lang w:val="en-US"/>
    </w:rPr>
  </w:style>
  <w:style w:type="paragraph" w:styleId="ListParagraph">
    <w:name w:val="List Paragraph"/>
    <w:basedOn w:val="Normal"/>
    <w:uiPriority w:val="34"/>
    <w:qFormat/>
    <w:rsid w:val="00C04FB9"/>
    <w:pPr>
      <w:ind w:left="720"/>
      <w:contextualSpacing/>
    </w:pPr>
  </w:style>
  <w:style w:type="character" w:styleId="Hyperlink">
    <w:name w:val="Hyperlink"/>
    <w:basedOn w:val="DefaultParagraphFont"/>
    <w:uiPriority w:val="99"/>
    <w:unhideWhenUsed/>
    <w:rsid w:val="00EA77A2"/>
    <w:rPr>
      <w:color w:val="0563C1" w:themeColor="hyperlink"/>
      <w:u w:val="single"/>
    </w:rPr>
  </w:style>
  <w:style w:type="character" w:customStyle="1" w:styleId="UnresolvedMention1">
    <w:name w:val="Unresolved Mention1"/>
    <w:basedOn w:val="DefaultParagraphFont"/>
    <w:uiPriority w:val="99"/>
    <w:semiHidden/>
    <w:unhideWhenUsed/>
    <w:rsid w:val="00EA77A2"/>
    <w:rPr>
      <w:color w:val="605E5C"/>
      <w:shd w:val="clear" w:color="auto" w:fill="E1DFDD"/>
    </w:rPr>
  </w:style>
  <w:style w:type="character" w:customStyle="1" w:styleId="Heading1Char">
    <w:name w:val="Heading 1 Char"/>
    <w:basedOn w:val="DefaultParagraphFont"/>
    <w:link w:val="Heading1"/>
    <w:uiPriority w:val="9"/>
    <w:rsid w:val="00510CF8"/>
    <w:rPr>
      <w:rFonts w:asciiTheme="majorHAnsi" w:eastAsiaTheme="majorEastAsia" w:hAnsiTheme="majorHAnsi" w:cstheme="majorBidi"/>
      <w:color w:val="2F5496" w:themeColor="accent1" w:themeShade="BF"/>
      <w:sz w:val="32"/>
      <w:szCs w:val="32"/>
    </w:rPr>
  </w:style>
  <w:style w:type="paragraph" w:styleId="Header">
    <w:name w:val="header"/>
    <w:basedOn w:val="Normal"/>
    <w:link w:val="HeaderChar"/>
    <w:uiPriority w:val="99"/>
    <w:unhideWhenUsed/>
    <w:rsid w:val="00C17586"/>
    <w:pPr>
      <w:tabs>
        <w:tab w:val="center" w:pos="4680"/>
        <w:tab w:val="right" w:pos="9360"/>
      </w:tabs>
    </w:pPr>
  </w:style>
  <w:style w:type="character" w:customStyle="1" w:styleId="HeaderChar">
    <w:name w:val="Header Char"/>
    <w:basedOn w:val="DefaultParagraphFont"/>
    <w:link w:val="Header"/>
    <w:uiPriority w:val="99"/>
    <w:rsid w:val="00C17586"/>
    <w:rPr>
      <w:rFonts w:ascii="Times New Roman" w:eastAsia="Times New Roman" w:hAnsi="Times New Roman" w:cs="Times New Roman"/>
    </w:rPr>
  </w:style>
  <w:style w:type="paragraph" w:styleId="Footer">
    <w:name w:val="footer"/>
    <w:basedOn w:val="Normal"/>
    <w:link w:val="FooterChar"/>
    <w:uiPriority w:val="99"/>
    <w:unhideWhenUsed/>
    <w:rsid w:val="00C17586"/>
    <w:pPr>
      <w:tabs>
        <w:tab w:val="center" w:pos="4680"/>
        <w:tab w:val="right" w:pos="9360"/>
      </w:tabs>
    </w:pPr>
  </w:style>
  <w:style w:type="character" w:customStyle="1" w:styleId="FooterChar">
    <w:name w:val="Footer Char"/>
    <w:basedOn w:val="DefaultParagraphFont"/>
    <w:link w:val="Footer"/>
    <w:uiPriority w:val="99"/>
    <w:rsid w:val="00C17586"/>
    <w:rPr>
      <w:rFonts w:ascii="Times New Roman" w:eastAsia="Times New Roman" w:hAnsi="Times New Roman" w:cs="Times New Roman"/>
    </w:rPr>
  </w:style>
  <w:style w:type="character" w:styleId="CommentReference">
    <w:name w:val="annotation reference"/>
    <w:basedOn w:val="DefaultParagraphFont"/>
    <w:uiPriority w:val="99"/>
    <w:semiHidden/>
    <w:unhideWhenUsed/>
    <w:rsid w:val="00FA0440"/>
    <w:rPr>
      <w:sz w:val="16"/>
      <w:szCs w:val="16"/>
    </w:rPr>
  </w:style>
  <w:style w:type="paragraph" w:styleId="CommentText">
    <w:name w:val="annotation text"/>
    <w:basedOn w:val="Normal"/>
    <w:link w:val="CommentTextChar"/>
    <w:uiPriority w:val="99"/>
    <w:semiHidden/>
    <w:unhideWhenUsed/>
    <w:rsid w:val="00FA0440"/>
    <w:rPr>
      <w:sz w:val="20"/>
      <w:szCs w:val="20"/>
    </w:rPr>
  </w:style>
  <w:style w:type="character" w:customStyle="1" w:styleId="CommentTextChar">
    <w:name w:val="Comment Text Char"/>
    <w:basedOn w:val="DefaultParagraphFont"/>
    <w:link w:val="CommentText"/>
    <w:uiPriority w:val="99"/>
    <w:semiHidden/>
    <w:rsid w:val="00FA0440"/>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FA0440"/>
    <w:rPr>
      <w:b/>
      <w:bCs/>
    </w:rPr>
  </w:style>
  <w:style w:type="character" w:customStyle="1" w:styleId="CommentSubjectChar">
    <w:name w:val="Comment Subject Char"/>
    <w:basedOn w:val="CommentTextChar"/>
    <w:link w:val="CommentSubject"/>
    <w:uiPriority w:val="99"/>
    <w:semiHidden/>
    <w:rsid w:val="00FA0440"/>
    <w:rPr>
      <w:rFonts w:ascii="Times New Roman" w:eastAsia="Times New Roman" w:hAnsi="Times New Roman" w:cs="Times New Roman"/>
      <w:b/>
      <w:bCs/>
      <w:sz w:val="20"/>
      <w:szCs w:val="20"/>
    </w:rPr>
  </w:style>
  <w:style w:type="paragraph" w:styleId="BalloonText">
    <w:name w:val="Balloon Text"/>
    <w:basedOn w:val="Normal"/>
    <w:link w:val="BalloonTextChar"/>
    <w:uiPriority w:val="99"/>
    <w:semiHidden/>
    <w:unhideWhenUsed/>
    <w:rsid w:val="00FA0440"/>
    <w:rPr>
      <w:sz w:val="18"/>
      <w:szCs w:val="18"/>
    </w:rPr>
  </w:style>
  <w:style w:type="character" w:customStyle="1" w:styleId="BalloonTextChar">
    <w:name w:val="Balloon Text Char"/>
    <w:basedOn w:val="DefaultParagraphFont"/>
    <w:link w:val="BalloonText"/>
    <w:uiPriority w:val="99"/>
    <w:semiHidden/>
    <w:rsid w:val="00FA0440"/>
    <w:rPr>
      <w:rFonts w:ascii="Times New Roman" w:eastAsia="Times New Roman" w:hAnsi="Times New Roman" w:cs="Times New Roman"/>
      <w:sz w:val="18"/>
      <w:szCs w:val="18"/>
    </w:rPr>
  </w:style>
  <w:style w:type="paragraph" w:styleId="Revision">
    <w:name w:val="Revision"/>
    <w:hidden/>
    <w:uiPriority w:val="99"/>
    <w:semiHidden/>
    <w:rsid w:val="00A978FC"/>
    <w:rPr>
      <w:rFonts w:ascii="Times New Roman" w:eastAsia="Times New Roman" w:hAnsi="Times New Roman" w:cs="Times New Roman"/>
    </w:rPr>
  </w:style>
  <w:style w:type="character" w:styleId="LineNumber">
    <w:name w:val="line number"/>
    <w:basedOn w:val="DefaultParagraphFont"/>
    <w:uiPriority w:val="99"/>
    <w:semiHidden/>
    <w:unhideWhenUsed/>
    <w:rsid w:val="00A978FC"/>
  </w:style>
  <w:style w:type="character" w:styleId="PageNumber">
    <w:name w:val="page number"/>
    <w:basedOn w:val="DefaultParagraphFont"/>
    <w:uiPriority w:val="99"/>
    <w:semiHidden/>
    <w:unhideWhenUsed/>
    <w:rsid w:val="00B44D7A"/>
  </w:style>
  <w:style w:type="character" w:customStyle="1" w:styleId="UnresolvedMention2">
    <w:name w:val="Unresolved Mention2"/>
    <w:basedOn w:val="DefaultParagraphFont"/>
    <w:uiPriority w:val="99"/>
    <w:semiHidden/>
    <w:unhideWhenUsed/>
    <w:rsid w:val="008C0D48"/>
    <w:rPr>
      <w:color w:val="605E5C"/>
      <w:shd w:val="clear" w:color="auto" w:fill="E1DFDD"/>
    </w:rPr>
  </w:style>
  <w:style w:type="table" w:styleId="TableGrid">
    <w:name w:val="Table Grid"/>
    <w:basedOn w:val="TableNormal"/>
    <w:uiPriority w:val="39"/>
    <w:rsid w:val="0082141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4C240C"/>
    <w:rPr>
      <w:color w:val="954F72" w:themeColor="followedHyperlink"/>
      <w:u w:val="single"/>
    </w:rPr>
  </w:style>
  <w:style w:type="paragraph" w:styleId="Title">
    <w:name w:val="Title"/>
    <w:basedOn w:val="Normal"/>
    <w:next w:val="Normal"/>
    <w:link w:val="TitleChar"/>
    <w:uiPriority w:val="10"/>
    <w:qFormat/>
    <w:rsid w:val="0088184F"/>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88184F"/>
    <w:rPr>
      <w:rFonts w:asciiTheme="majorHAnsi" w:eastAsiaTheme="majorEastAsia" w:hAnsiTheme="majorHAnsi" w:cstheme="majorBidi"/>
      <w:spacing w:val="-10"/>
      <w:kern w:val="28"/>
      <w:sz w:val="56"/>
      <w:szCs w:val="56"/>
    </w:rPr>
  </w:style>
  <w:style w:type="paragraph" w:styleId="FootnoteText">
    <w:name w:val="footnote text"/>
    <w:basedOn w:val="Normal"/>
    <w:link w:val="FootnoteTextChar"/>
    <w:uiPriority w:val="99"/>
    <w:unhideWhenUsed/>
    <w:rsid w:val="0045258C"/>
  </w:style>
  <w:style w:type="character" w:customStyle="1" w:styleId="FootnoteTextChar">
    <w:name w:val="Footnote Text Char"/>
    <w:basedOn w:val="DefaultParagraphFont"/>
    <w:link w:val="FootnoteText"/>
    <w:uiPriority w:val="99"/>
    <w:rsid w:val="0045258C"/>
    <w:rPr>
      <w:rFonts w:ascii="Times New Roman" w:eastAsia="Times New Roman" w:hAnsi="Times New Roman" w:cs="Times New Roman"/>
    </w:rPr>
  </w:style>
  <w:style w:type="character" w:styleId="FootnoteReference">
    <w:name w:val="footnote reference"/>
    <w:basedOn w:val="DefaultParagraphFont"/>
    <w:uiPriority w:val="99"/>
    <w:unhideWhenUsed/>
    <w:rsid w:val="0045258C"/>
    <w:rPr>
      <w:vertAlign w:val="superscript"/>
    </w:rPr>
  </w:style>
  <w:style w:type="character" w:customStyle="1" w:styleId="UnresolvedMention3">
    <w:name w:val="Unresolved Mention3"/>
    <w:basedOn w:val="DefaultParagraphFont"/>
    <w:uiPriority w:val="99"/>
    <w:semiHidden/>
    <w:unhideWhenUsed/>
    <w:rsid w:val="00F05723"/>
    <w:rPr>
      <w:color w:val="605E5C"/>
      <w:shd w:val="clear" w:color="auto" w:fill="E1DFDD"/>
    </w:rPr>
  </w:style>
  <w:style w:type="paragraph" w:customStyle="1" w:styleId="MDPI12title">
    <w:name w:val="MDPI_1.2_title"/>
    <w:next w:val="Normal"/>
    <w:qFormat/>
    <w:rsid w:val="00922BAA"/>
    <w:pPr>
      <w:adjustRightInd w:val="0"/>
      <w:snapToGrid w:val="0"/>
      <w:spacing w:after="240" w:line="400" w:lineRule="exact"/>
    </w:pPr>
    <w:rPr>
      <w:rFonts w:ascii="Palatino Linotype" w:eastAsia="Times New Roman" w:hAnsi="Palatino Linotype" w:cs="Times New Roman"/>
      <w:b/>
      <w:snapToGrid w:val="0"/>
      <w:color w:val="000000"/>
      <w:sz w:val="36"/>
      <w:szCs w:val="20"/>
      <w:lang w:val="en-US" w:eastAsia="de-DE" w:bidi="en-US"/>
    </w:rPr>
  </w:style>
  <w:style w:type="paragraph" w:customStyle="1" w:styleId="MDPI13authornames">
    <w:name w:val="MDPI_1.3_authornames"/>
    <w:basedOn w:val="Normal"/>
    <w:next w:val="MDPI14history"/>
    <w:qFormat/>
    <w:rsid w:val="00255BC4"/>
    <w:pPr>
      <w:adjustRightInd w:val="0"/>
      <w:snapToGrid w:val="0"/>
      <w:spacing w:after="120" w:line="260" w:lineRule="atLeast"/>
    </w:pPr>
    <w:rPr>
      <w:rFonts w:ascii="Palatino Linotype" w:hAnsi="Palatino Linotype"/>
      <w:b/>
      <w:color w:val="000000"/>
      <w:sz w:val="20"/>
      <w:szCs w:val="22"/>
      <w:lang w:val="en-US" w:eastAsia="de-DE" w:bidi="en-US"/>
    </w:rPr>
  </w:style>
  <w:style w:type="paragraph" w:customStyle="1" w:styleId="MDPI14history">
    <w:name w:val="MDPI_1.4_history"/>
    <w:basedOn w:val="Normal"/>
    <w:next w:val="Normal"/>
    <w:qFormat/>
    <w:rsid w:val="00255BC4"/>
    <w:pPr>
      <w:adjustRightInd w:val="0"/>
      <w:snapToGrid w:val="0"/>
      <w:spacing w:before="120" w:line="200" w:lineRule="atLeast"/>
      <w:ind w:left="113"/>
    </w:pPr>
    <w:rPr>
      <w:rFonts w:ascii="Palatino Linotype" w:hAnsi="Palatino Linotype"/>
      <w:color w:val="000000"/>
      <w:sz w:val="18"/>
      <w:szCs w:val="20"/>
      <w:lang w:val="en-US" w:eastAsia="de-DE" w:bidi="en-US"/>
    </w:rPr>
  </w:style>
  <w:style w:type="paragraph" w:customStyle="1" w:styleId="MDPI16affiliation">
    <w:name w:val="MDPI_1.6_affiliation"/>
    <w:basedOn w:val="Normal"/>
    <w:qFormat/>
    <w:rsid w:val="00255BC4"/>
    <w:pPr>
      <w:adjustRightInd w:val="0"/>
      <w:snapToGrid w:val="0"/>
      <w:spacing w:line="200" w:lineRule="atLeast"/>
      <w:ind w:left="311" w:hanging="198"/>
    </w:pPr>
    <w:rPr>
      <w:rFonts w:ascii="Palatino Linotype" w:hAnsi="Palatino Linotype"/>
      <w:color w:val="000000"/>
      <w:sz w:val="18"/>
      <w:szCs w:val="18"/>
      <w:lang w:val="en-US" w:eastAsia="de-DE"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6583286">
      <w:bodyDiv w:val="1"/>
      <w:marLeft w:val="0"/>
      <w:marRight w:val="0"/>
      <w:marTop w:val="0"/>
      <w:marBottom w:val="0"/>
      <w:divBdr>
        <w:top w:val="none" w:sz="0" w:space="0" w:color="auto"/>
        <w:left w:val="none" w:sz="0" w:space="0" w:color="auto"/>
        <w:bottom w:val="none" w:sz="0" w:space="0" w:color="auto"/>
        <w:right w:val="none" w:sz="0" w:space="0" w:color="auto"/>
      </w:divBdr>
    </w:div>
    <w:div w:id="127213806">
      <w:bodyDiv w:val="1"/>
      <w:marLeft w:val="0"/>
      <w:marRight w:val="0"/>
      <w:marTop w:val="0"/>
      <w:marBottom w:val="0"/>
      <w:divBdr>
        <w:top w:val="none" w:sz="0" w:space="0" w:color="auto"/>
        <w:left w:val="none" w:sz="0" w:space="0" w:color="auto"/>
        <w:bottom w:val="none" w:sz="0" w:space="0" w:color="auto"/>
        <w:right w:val="none" w:sz="0" w:space="0" w:color="auto"/>
      </w:divBdr>
    </w:div>
    <w:div w:id="139153790">
      <w:bodyDiv w:val="1"/>
      <w:marLeft w:val="0"/>
      <w:marRight w:val="0"/>
      <w:marTop w:val="0"/>
      <w:marBottom w:val="0"/>
      <w:divBdr>
        <w:top w:val="none" w:sz="0" w:space="0" w:color="auto"/>
        <w:left w:val="none" w:sz="0" w:space="0" w:color="auto"/>
        <w:bottom w:val="none" w:sz="0" w:space="0" w:color="auto"/>
        <w:right w:val="none" w:sz="0" w:space="0" w:color="auto"/>
      </w:divBdr>
    </w:div>
    <w:div w:id="164513125">
      <w:bodyDiv w:val="1"/>
      <w:marLeft w:val="0"/>
      <w:marRight w:val="0"/>
      <w:marTop w:val="0"/>
      <w:marBottom w:val="0"/>
      <w:divBdr>
        <w:top w:val="none" w:sz="0" w:space="0" w:color="auto"/>
        <w:left w:val="none" w:sz="0" w:space="0" w:color="auto"/>
        <w:bottom w:val="none" w:sz="0" w:space="0" w:color="auto"/>
        <w:right w:val="none" w:sz="0" w:space="0" w:color="auto"/>
      </w:divBdr>
    </w:div>
    <w:div w:id="192615766">
      <w:bodyDiv w:val="1"/>
      <w:marLeft w:val="0"/>
      <w:marRight w:val="0"/>
      <w:marTop w:val="0"/>
      <w:marBottom w:val="0"/>
      <w:divBdr>
        <w:top w:val="none" w:sz="0" w:space="0" w:color="auto"/>
        <w:left w:val="none" w:sz="0" w:space="0" w:color="auto"/>
        <w:bottom w:val="none" w:sz="0" w:space="0" w:color="auto"/>
        <w:right w:val="none" w:sz="0" w:space="0" w:color="auto"/>
      </w:divBdr>
    </w:div>
    <w:div w:id="204952061">
      <w:bodyDiv w:val="1"/>
      <w:marLeft w:val="0"/>
      <w:marRight w:val="0"/>
      <w:marTop w:val="0"/>
      <w:marBottom w:val="0"/>
      <w:divBdr>
        <w:top w:val="none" w:sz="0" w:space="0" w:color="auto"/>
        <w:left w:val="none" w:sz="0" w:space="0" w:color="auto"/>
        <w:bottom w:val="none" w:sz="0" w:space="0" w:color="auto"/>
        <w:right w:val="none" w:sz="0" w:space="0" w:color="auto"/>
      </w:divBdr>
    </w:div>
    <w:div w:id="208688297">
      <w:bodyDiv w:val="1"/>
      <w:marLeft w:val="0"/>
      <w:marRight w:val="0"/>
      <w:marTop w:val="0"/>
      <w:marBottom w:val="0"/>
      <w:divBdr>
        <w:top w:val="none" w:sz="0" w:space="0" w:color="auto"/>
        <w:left w:val="none" w:sz="0" w:space="0" w:color="auto"/>
        <w:bottom w:val="none" w:sz="0" w:space="0" w:color="auto"/>
        <w:right w:val="none" w:sz="0" w:space="0" w:color="auto"/>
      </w:divBdr>
    </w:div>
    <w:div w:id="239407733">
      <w:bodyDiv w:val="1"/>
      <w:marLeft w:val="0"/>
      <w:marRight w:val="0"/>
      <w:marTop w:val="0"/>
      <w:marBottom w:val="0"/>
      <w:divBdr>
        <w:top w:val="none" w:sz="0" w:space="0" w:color="auto"/>
        <w:left w:val="none" w:sz="0" w:space="0" w:color="auto"/>
        <w:bottom w:val="none" w:sz="0" w:space="0" w:color="auto"/>
        <w:right w:val="none" w:sz="0" w:space="0" w:color="auto"/>
      </w:divBdr>
    </w:div>
    <w:div w:id="252670582">
      <w:bodyDiv w:val="1"/>
      <w:marLeft w:val="0"/>
      <w:marRight w:val="0"/>
      <w:marTop w:val="0"/>
      <w:marBottom w:val="0"/>
      <w:divBdr>
        <w:top w:val="none" w:sz="0" w:space="0" w:color="auto"/>
        <w:left w:val="none" w:sz="0" w:space="0" w:color="auto"/>
        <w:bottom w:val="none" w:sz="0" w:space="0" w:color="auto"/>
        <w:right w:val="none" w:sz="0" w:space="0" w:color="auto"/>
      </w:divBdr>
    </w:div>
    <w:div w:id="255984532">
      <w:bodyDiv w:val="1"/>
      <w:marLeft w:val="0"/>
      <w:marRight w:val="0"/>
      <w:marTop w:val="0"/>
      <w:marBottom w:val="0"/>
      <w:divBdr>
        <w:top w:val="none" w:sz="0" w:space="0" w:color="auto"/>
        <w:left w:val="none" w:sz="0" w:space="0" w:color="auto"/>
        <w:bottom w:val="none" w:sz="0" w:space="0" w:color="auto"/>
        <w:right w:val="none" w:sz="0" w:space="0" w:color="auto"/>
      </w:divBdr>
    </w:div>
    <w:div w:id="267080432">
      <w:bodyDiv w:val="1"/>
      <w:marLeft w:val="0"/>
      <w:marRight w:val="0"/>
      <w:marTop w:val="0"/>
      <w:marBottom w:val="0"/>
      <w:divBdr>
        <w:top w:val="none" w:sz="0" w:space="0" w:color="auto"/>
        <w:left w:val="none" w:sz="0" w:space="0" w:color="auto"/>
        <w:bottom w:val="none" w:sz="0" w:space="0" w:color="auto"/>
        <w:right w:val="none" w:sz="0" w:space="0" w:color="auto"/>
      </w:divBdr>
    </w:div>
    <w:div w:id="322710302">
      <w:bodyDiv w:val="1"/>
      <w:marLeft w:val="0"/>
      <w:marRight w:val="0"/>
      <w:marTop w:val="0"/>
      <w:marBottom w:val="0"/>
      <w:divBdr>
        <w:top w:val="none" w:sz="0" w:space="0" w:color="auto"/>
        <w:left w:val="none" w:sz="0" w:space="0" w:color="auto"/>
        <w:bottom w:val="none" w:sz="0" w:space="0" w:color="auto"/>
        <w:right w:val="none" w:sz="0" w:space="0" w:color="auto"/>
      </w:divBdr>
    </w:div>
    <w:div w:id="330333026">
      <w:bodyDiv w:val="1"/>
      <w:marLeft w:val="0"/>
      <w:marRight w:val="0"/>
      <w:marTop w:val="0"/>
      <w:marBottom w:val="0"/>
      <w:divBdr>
        <w:top w:val="none" w:sz="0" w:space="0" w:color="auto"/>
        <w:left w:val="none" w:sz="0" w:space="0" w:color="auto"/>
        <w:bottom w:val="none" w:sz="0" w:space="0" w:color="auto"/>
        <w:right w:val="none" w:sz="0" w:space="0" w:color="auto"/>
      </w:divBdr>
    </w:div>
    <w:div w:id="332757371">
      <w:bodyDiv w:val="1"/>
      <w:marLeft w:val="0"/>
      <w:marRight w:val="0"/>
      <w:marTop w:val="0"/>
      <w:marBottom w:val="0"/>
      <w:divBdr>
        <w:top w:val="none" w:sz="0" w:space="0" w:color="auto"/>
        <w:left w:val="none" w:sz="0" w:space="0" w:color="auto"/>
        <w:bottom w:val="none" w:sz="0" w:space="0" w:color="auto"/>
        <w:right w:val="none" w:sz="0" w:space="0" w:color="auto"/>
      </w:divBdr>
    </w:div>
    <w:div w:id="369037608">
      <w:bodyDiv w:val="1"/>
      <w:marLeft w:val="0"/>
      <w:marRight w:val="0"/>
      <w:marTop w:val="0"/>
      <w:marBottom w:val="0"/>
      <w:divBdr>
        <w:top w:val="none" w:sz="0" w:space="0" w:color="auto"/>
        <w:left w:val="none" w:sz="0" w:space="0" w:color="auto"/>
        <w:bottom w:val="none" w:sz="0" w:space="0" w:color="auto"/>
        <w:right w:val="none" w:sz="0" w:space="0" w:color="auto"/>
      </w:divBdr>
    </w:div>
    <w:div w:id="377630318">
      <w:bodyDiv w:val="1"/>
      <w:marLeft w:val="0"/>
      <w:marRight w:val="0"/>
      <w:marTop w:val="0"/>
      <w:marBottom w:val="0"/>
      <w:divBdr>
        <w:top w:val="none" w:sz="0" w:space="0" w:color="auto"/>
        <w:left w:val="none" w:sz="0" w:space="0" w:color="auto"/>
        <w:bottom w:val="none" w:sz="0" w:space="0" w:color="auto"/>
        <w:right w:val="none" w:sz="0" w:space="0" w:color="auto"/>
      </w:divBdr>
    </w:div>
    <w:div w:id="385488842">
      <w:bodyDiv w:val="1"/>
      <w:marLeft w:val="0"/>
      <w:marRight w:val="0"/>
      <w:marTop w:val="0"/>
      <w:marBottom w:val="0"/>
      <w:divBdr>
        <w:top w:val="none" w:sz="0" w:space="0" w:color="auto"/>
        <w:left w:val="none" w:sz="0" w:space="0" w:color="auto"/>
        <w:bottom w:val="none" w:sz="0" w:space="0" w:color="auto"/>
        <w:right w:val="none" w:sz="0" w:space="0" w:color="auto"/>
      </w:divBdr>
    </w:div>
    <w:div w:id="386295151">
      <w:bodyDiv w:val="1"/>
      <w:marLeft w:val="0"/>
      <w:marRight w:val="0"/>
      <w:marTop w:val="0"/>
      <w:marBottom w:val="0"/>
      <w:divBdr>
        <w:top w:val="none" w:sz="0" w:space="0" w:color="auto"/>
        <w:left w:val="none" w:sz="0" w:space="0" w:color="auto"/>
        <w:bottom w:val="none" w:sz="0" w:space="0" w:color="auto"/>
        <w:right w:val="none" w:sz="0" w:space="0" w:color="auto"/>
      </w:divBdr>
    </w:div>
    <w:div w:id="428937860">
      <w:bodyDiv w:val="1"/>
      <w:marLeft w:val="0"/>
      <w:marRight w:val="0"/>
      <w:marTop w:val="0"/>
      <w:marBottom w:val="0"/>
      <w:divBdr>
        <w:top w:val="none" w:sz="0" w:space="0" w:color="auto"/>
        <w:left w:val="none" w:sz="0" w:space="0" w:color="auto"/>
        <w:bottom w:val="none" w:sz="0" w:space="0" w:color="auto"/>
        <w:right w:val="none" w:sz="0" w:space="0" w:color="auto"/>
      </w:divBdr>
    </w:div>
    <w:div w:id="429281415">
      <w:bodyDiv w:val="1"/>
      <w:marLeft w:val="0"/>
      <w:marRight w:val="0"/>
      <w:marTop w:val="0"/>
      <w:marBottom w:val="0"/>
      <w:divBdr>
        <w:top w:val="none" w:sz="0" w:space="0" w:color="auto"/>
        <w:left w:val="none" w:sz="0" w:space="0" w:color="auto"/>
        <w:bottom w:val="none" w:sz="0" w:space="0" w:color="auto"/>
        <w:right w:val="none" w:sz="0" w:space="0" w:color="auto"/>
      </w:divBdr>
      <w:divsChild>
        <w:div w:id="1727295046">
          <w:marLeft w:val="0"/>
          <w:marRight w:val="0"/>
          <w:marTop w:val="0"/>
          <w:marBottom w:val="0"/>
          <w:divBdr>
            <w:top w:val="none" w:sz="0" w:space="0" w:color="auto"/>
            <w:left w:val="none" w:sz="0" w:space="0" w:color="auto"/>
            <w:bottom w:val="none" w:sz="0" w:space="0" w:color="auto"/>
            <w:right w:val="none" w:sz="0" w:space="0" w:color="auto"/>
          </w:divBdr>
          <w:divsChild>
            <w:div w:id="304165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0512180">
      <w:bodyDiv w:val="1"/>
      <w:marLeft w:val="0"/>
      <w:marRight w:val="0"/>
      <w:marTop w:val="0"/>
      <w:marBottom w:val="0"/>
      <w:divBdr>
        <w:top w:val="none" w:sz="0" w:space="0" w:color="auto"/>
        <w:left w:val="none" w:sz="0" w:space="0" w:color="auto"/>
        <w:bottom w:val="none" w:sz="0" w:space="0" w:color="auto"/>
        <w:right w:val="none" w:sz="0" w:space="0" w:color="auto"/>
      </w:divBdr>
    </w:div>
    <w:div w:id="435096087">
      <w:bodyDiv w:val="1"/>
      <w:marLeft w:val="0"/>
      <w:marRight w:val="0"/>
      <w:marTop w:val="0"/>
      <w:marBottom w:val="0"/>
      <w:divBdr>
        <w:top w:val="none" w:sz="0" w:space="0" w:color="auto"/>
        <w:left w:val="none" w:sz="0" w:space="0" w:color="auto"/>
        <w:bottom w:val="none" w:sz="0" w:space="0" w:color="auto"/>
        <w:right w:val="none" w:sz="0" w:space="0" w:color="auto"/>
      </w:divBdr>
    </w:div>
    <w:div w:id="525756449">
      <w:bodyDiv w:val="1"/>
      <w:marLeft w:val="0"/>
      <w:marRight w:val="0"/>
      <w:marTop w:val="0"/>
      <w:marBottom w:val="0"/>
      <w:divBdr>
        <w:top w:val="none" w:sz="0" w:space="0" w:color="auto"/>
        <w:left w:val="none" w:sz="0" w:space="0" w:color="auto"/>
        <w:bottom w:val="none" w:sz="0" w:space="0" w:color="auto"/>
        <w:right w:val="none" w:sz="0" w:space="0" w:color="auto"/>
      </w:divBdr>
    </w:div>
    <w:div w:id="541527066">
      <w:bodyDiv w:val="1"/>
      <w:marLeft w:val="0"/>
      <w:marRight w:val="0"/>
      <w:marTop w:val="0"/>
      <w:marBottom w:val="0"/>
      <w:divBdr>
        <w:top w:val="none" w:sz="0" w:space="0" w:color="auto"/>
        <w:left w:val="none" w:sz="0" w:space="0" w:color="auto"/>
        <w:bottom w:val="none" w:sz="0" w:space="0" w:color="auto"/>
        <w:right w:val="none" w:sz="0" w:space="0" w:color="auto"/>
      </w:divBdr>
    </w:div>
    <w:div w:id="558636434">
      <w:bodyDiv w:val="1"/>
      <w:marLeft w:val="0"/>
      <w:marRight w:val="0"/>
      <w:marTop w:val="0"/>
      <w:marBottom w:val="0"/>
      <w:divBdr>
        <w:top w:val="none" w:sz="0" w:space="0" w:color="auto"/>
        <w:left w:val="none" w:sz="0" w:space="0" w:color="auto"/>
        <w:bottom w:val="none" w:sz="0" w:space="0" w:color="auto"/>
        <w:right w:val="none" w:sz="0" w:space="0" w:color="auto"/>
      </w:divBdr>
    </w:div>
    <w:div w:id="582228275">
      <w:bodyDiv w:val="1"/>
      <w:marLeft w:val="0"/>
      <w:marRight w:val="0"/>
      <w:marTop w:val="0"/>
      <w:marBottom w:val="0"/>
      <w:divBdr>
        <w:top w:val="none" w:sz="0" w:space="0" w:color="auto"/>
        <w:left w:val="none" w:sz="0" w:space="0" w:color="auto"/>
        <w:bottom w:val="none" w:sz="0" w:space="0" w:color="auto"/>
        <w:right w:val="none" w:sz="0" w:space="0" w:color="auto"/>
      </w:divBdr>
    </w:div>
    <w:div w:id="641886121">
      <w:bodyDiv w:val="1"/>
      <w:marLeft w:val="0"/>
      <w:marRight w:val="0"/>
      <w:marTop w:val="0"/>
      <w:marBottom w:val="0"/>
      <w:divBdr>
        <w:top w:val="none" w:sz="0" w:space="0" w:color="auto"/>
        <w:left w:val="none" w:sz="0" w:space="0" w:color="auto"/>
        <w:bottom w:val="none" w:sz="0" w:space="0" w:color="auto"/>
        <w:right w:val="none" w:sz="0" w:space="0" w:color="auto"/>
      </w:divBdr>
    </w:div>
    <w:div w:id="672993877">
      <w:bodyDiv w:val="1"/>
      <w:marLeft w:val="0"/>
      <w:marRight w:val="0"/>
      <w:marTop w:val="0"/>
      <w:marBottom w:val="0"/>
      <w:divBdr>
        <w:top w:val="none" w:sz="0" w:space="0" w:color="auto"/>
        <w:left w:val="none" w:sz="0" w:space="0" w:color="auto"/>
        <w:bottom w:val="none" w:sz="0" w:space="0" w:color="auto"/>
        <w:right w:val="none" w:sz="0" w:space="0" w:color="auto"/>
      </w:divBdr>
    </w:div>
    <w:div w:id="679115242">
      <w:bodyDiv w:val="1"/>
      <w:marLeft w:val="0"/>
      <w:marRight w:val="0"/>
      <w:marTop w:val="0"/>
      <w:marBottom w:val="0"/>
      <w:divBdr>
        <w:top w:val="none" w:sz="0" w:space="0" w:color="auto"/>
        <w:left w:val="none" w:sz="0" w:space="0" w:color="auto"/>
        <w:bottom w:val="none" w:sz="0" w:space="0" w:color="auto"/>
        <w:right w:val="none" w:sz="0" w:space="0" w:color="auto"/>
      </w:divBdr>
    </w:div>
    <w:div w:id="687557946">
      <w:bodyDiv w:val="1"/>
      <w:marLeft w:val="0"/>
      <w:marRight w:val="0"/>
      <w:marTop w:val="0"/>
      <w:marBottom w:val="0"/>
      <w:divBdr>
        <w:top w:val="none" w:sz="0" w:space="0" w:color="auto"/>
        <w:left w:val="none" w:sz="0" w:space="0" w:color="auto"/>
        <w:bottom w:val="none" w:sz="0" w:space="0" w:color="auto"/>
        <w:right w:val="none" w:sz="0" w:space="0" w:color="auto"/>
      </w:divBdr>
    </w:div>
    <w:div w:id="704603813">
      <w:bodyDiv w:val="1"/>
      <w:marLeft w:val="0"/>
      <w:marRight w:val="0"/>
      <w:marTop w:val="0"/>
      <w:marBottom w:val="0"/>
      <w:divBdr>
        <w:top w:val="none" w:sz="0" w:space="0" w:color="auto"/>
        <w:left w:val="none" w:sz="0" w:space="0" w:color="auto"/>
        <w:bottom w:val="none" w:sz="0" w:space="0" w:color="auto"/>
        <w:right w:val="none" w:sz="0" w:space="0" w:color="auto"/>
      </w:divBdr>
    </w:div>
    <w:div w:id="731776777">
      <w:bodyDiv w:val="1"/>
      <w:marLeft w:val="0"/>
      <w:marRight w:val="0"/>
      <w:marTop w:val="0"/>
      <w:marBottom w:val="0"/>
      <w:divBdr>
        <w:top w:val="none" w:sz="0" w:space="0" w:color="auto"/>
        <w:left w:val="none" w:sz="0" w:space="0" w:color="auto"/>
        <w:bottom w:val="none" w:sz="0" w:space="0" w:color="auto"/>
        <w:right w:val="none" w:sz="0" w:space="0" w:color="auto"/>
      </w:divBdr>
    </w:div>
    <w:div w:id="747385548">
      <w:bodyDiv w:val="1"/>
      <w:marLeft w:val="0"/>
      <w:marRight w:val="0"/>
      <w:marTop w:val="0"/>
      <w:marBottom w:val="0"/>
      <w:divBdr>
        <w:top w:val="none" w:sz="0" w:space="0" w:color="auto"/>
        <w:left w:val="none" w:sz="0" w:space="0" w:color="auto"/>
        <w:bottom w:val="none" w:sz="0" w:space="0" w:color="auto"/>
        <w:right w:val="none" w:sz="0" w:space="0" w:color="auto"/>
      </w:divBdr>
    </w:div>
    <w:div w:id="777993492">
      <w:bodyDiv w:val="1"/>
      <w:marLeft w:val="0"/>
      <w:marRight w:val="0"/>
      <w:marTop w:val="0"/>
      <w:marBottom w:val="0"/>
      <w:divBdr>
        <w:top w:val="none" w:sz="0" w:space="0" w:color="auto"/>
        <w:left w:val="none" w:sz="0" w:space="0" w:color="auto"/>
        <w:bottom w:val="none" w:sz="0" w:space="0" w:color="auto"/>
        <w:right w:val="none" w:sz="0" w:space="0" w:color="auto"/>
      </w:divBdr>
    </w:div>
    <w:div w:id="784733061">
      <w:bodyDiv w:val="1"/>
      <w:marLeft w:val="0"/>
      <w:marRight w:val="0"/>
      <w:marTop w:val="0"/>
      <w:marBottom w:val="0"/>
      <w:divBdr>
        <w:top w:val="none" w:sz="0" w:space="0" w:color="auto"/>
        <w:left w:val="none" w:sz="0" w:space="0" w:color="auto"/>
        <w:bottom w:val="none" w:sz="0" w:space="0" w:color="auto"/>
        <w:right w:val="none" w:sz="0" w:space="0" w:color="auto"/>
      </w:divBdr>
    </w:div>
    <w:div w:id="788813482">
      <w:bodyDiv w:val="1"/>
      <w:marLeft w:val="0"/>
      <w:marRight w:val="0"/>
      <w:marTop w:val="0"/>
      <w:marBottom w:val="0"/>
      <w:divBdr>
        <w:top w:val="none" w:sz="0" w:space="0" w:color="auto"/>
        <w:left w:val="none" w:sz="0" w:space="0" w:color="auto"/>
        <w:bottom w:val="none" w:sz="0" w:space="0" w:color="auto"/>
        <w:right w:val="none" w:sz="0" w:space="0" w:color="auto"/>
      </w:divBdr>
    </w:div>
    <w:div w:id="793450915">
      <w:bodyDiv w:val="1"/>
      <w:marLeft w:val="0"/>
      <w:marRight w:val="0"/>
      <w:marTop w:val="0"/>
      <w:marBottom w:val="0"/>
      <w:divBdr>
        <w:top w:val="none" w:sz="0" w:space="0" w:color="auto"/>
        <w:left w:val="none" w:sz="0" w:space="0" w:color="auto"/>
        <w:bottom w:val="none" w:sz="0" w:space="0" w:color="auto"/>
        <w:right w:val="none" w:sz="0" w:space="0" w:color="auto"/>
      </w:divBdr>
    </w:div>
    <w:div w:id="812869162">
      <w:bodyDiv w:val="1"/>
      <w:marLeft w:val="0"/>
      <w:marRight w:val="0"/>
      <w:marTop w:val="0"/>
      <w:marBottom w:val="0"/>
      <w:divBdr>
        <w:top w:val="none" w:sz="0" w:space="0" w:color="auto"/>
        <w:left w:val="none" w:sz="0" w:space="0" w:color="auto"/>
        <w:bottom w:val="none" w:sz="0" w:space="0" w:color="auto"/>
        <w:right w:val="none" w:sz="0" w:space="0" w:color="auto"/>
      </w:divBdr>
    </w:div>
    <w:div w:id="814833564">
      <w:bodyDiv w:val="1"/>
      <w:marLeft w:val="0"/>
      <w:marRight w:val="0"/>
      <w:marTop w:val="0"/>
      <w:marBottom w:val="0"/>
      <w:divBdr>
        <w:top w:val="none" w:sz="0" w:space="0" w:color="auto"/>
        <w:left w:val="none" w:sz="0" w:space="0" w:color="auto"/>
        <w:bottom w:val="none" w:sz="0" w:space="0" w:color="auto"/>
        <w:right w:val="none" w:sz="0" w:space="0" w:color="auto"/>
      </w:divBdr>
    </w:div>
    <w:div w:id="818109530">
      <w:bodyDiv w:val="1"/>
      <w:marLeft w:val="0"/>
      <w:marRight w:val="0"/>
      <w:marTop w:val="0"/>
      <w:marBottom w:val="0"/>
      <w:divBdr>
        <w:top w:val="none" w:sz="0" w:space="0" w:color="auto"/>
        <w:left w:val="none" w:sz="0" w:space="0" w:color="auto"/>
        <w:bottom w:val="none" w:sz="0" w:space="0" w:color="auto"/>
        <w:right w:val="none" w:sz="0" w:space="0" w:color="auto"/>
      </w:divBdr>
    </w:div>
    <w:div w:id="853493356">
      <w:bodyDiv w:val="1"/>
      <w:marLeft w:val="0"/>
      <w:marRight w:val="0"/>
      <w:marTop w:val="0"/>
      <w:marBottom w:val="0"/>
      <w:divBdr>
        <w:top w:val="none" w:sz="0" w:space="0" w:color="auto"/>
        <w:left w:val="none" w:sz="0" w:space="0" w:color="auto"/>
        <w:bottom w:val="none" w:sz="0" w:space="0" w:color="auto"/>
        <w:right w:val="none" w:sz="0" w:space="0" w:color="auto"/>
      </w:divBdr>
    </w:div>
    <w:div w:id="943076567">
      <w:bodyDiv w:val="1"/>
      <w:marLeft w:val="0"/>
      <w:marRight w:val="0"/>
      <w:marTop w:val="0"/>
      <w:marBottom w:val="0"/>
      <w:divBdr>
        <w:top w:val="none" w:sz="0" w:space="0" w:color="auto"/>
        <w:left w:val="none" w:sz="0" w:space="0" w:color="auto"/>
        <w:bottom w:val="none" w:sz="0" w:space="0" w:color="auto"/>
        <w:right w:val="none" w:sz="0" w:space="0" w:color="auto"/>
      </w:divBdr>
    </w:div>
    <w:div w:id="958489670">
      <w:bodyDiv w:val="1"/>
      <w:marLeft w:val="0"/>
      <w:marRight w:val="0"/>
      <w:marTop w:val="0"/>
      <w:marBottom w:val="0"/>
      <w:divBdr>
        <w:top w:val="none" w:sz="0" w:space="0" w:color="auto"/>
        <w:left w:val="none" w:sz="0" w:space="0" w:color="auto"/>
        <w:bottom w:val="none" w:sz="0" w:space="0" w:color="auto"/>
        <w:right w:val="none" w:sz="0" w:space="0" w:color="auto"/>
      </w:divBdr>
    </w:div>
    <w:div w:id="965701215">
      <w:bodyDiv w:val="1"/>
      <w:marLeft w:val="0"/>
      <w:marRight w:val="0"/>
      <w:marTop w:val="0"/>
      <w:marBottom w:val="0"/>
      <w:divBdr>
        <w:top w:val="none" w:sz="0" w:space="0" w:color="auto"/>
        <w:left w:val="none" w:sz="0" w:space="0" w:color="auto"/>
        <w:bottom w:val="none" w:sz="0" w:space="0" w:color="auto"/>
        <w:right w:val="none" w:sz="0" w:space="0" w:color="auto"/>
      </w:divBdr>
    </w:div>
    <w:div w:id="969939136">
      <w:bodyDiv w:val="1"/>
      <w:marLeft w:val="0"/>
      <w:marRight w:val="0"/>
      <w:marTop w:val="0"/>
      <w:marBottom w:val="0"/>
      <w:divBdr>
        <w:top w:val="none" w:sz="0" w:space="0" w:color="auto"/>
        <w:left w:val="none" w:sz="0" w:space="0" w:color="auto"/>
        <w:bottom w:val="none" w:sz="0" w:space="0" w:color="auto"/>
        <w:right w:val="none" w:sz="0" w:space="0" w:color="auto"/>
      </w:divBdr>
    </w:div>
    <w:div w:id="986399237">
      <w:bodyDiv w:val="1"/>
      <w:marLeft w:val="0"/>
      <w:marRight w:val="0"/>
      <w:marTop w:val="0"/>
      <w:marBottom w:val="0"/>
      <w:divBdr>
        <w:top w:val="none" w:sz="0" w:space="0" w:color="auto"/>
        <w:left w:val="none" w:sz="0" w:space="0" w:color="auto"/>
        <w:bottom w:val="none" w:sz="0" w:space="0" w:color="auto"/>
        <w:right w:val="none" w:sz="0" w:space="0" w:color="auto"/>
      </w:divBdr>
    </w:div>
    <w:div w:id="1025060397">
      <w:bodyDiv w:val="1"/>
      <w:marLeft w:val="0"/>
      <w:marRight w:val="0"/>
      <w:marTop w:val="0"/>
      <w:marBottom w:val="0"/>
      <w:divBdr>
        <w:top w:val="none" w:sz="0" w:space="0" w:color="auto"/>
        <w:left w:val="none" w:sz="0" w:space="0" w:color="auto"/>
        <w:bottom w:val="none" w:sz="0" w:space="0" w:color="auto"/>
        <w:right w:val="none" w:sz="0" w:space="0" w:color="auto"/>
      </w:divBdr>
    </w:div>
    <w:div w:id="1065227229">
      <w:bodyDiv w:val="1"/>
      <w:marLeft w:val="0"/>
      <w:marRight w:val="0"/>
      <w:marTop w:val="0"/>
      <w:marBottom w:val="0"/>
      <w:divBdr>
        <w:top w:val="none" w:sz="0" w:space="0" w:color="auto"/>
        <w:left w:val="none" w:sz="0" w:space="0" w:color="auto"/>
        <w:bottom w:val="none" w:sz="0" w:space="0" w:color="auto"/>
        <w:right w:val="none" w:sz="0" w:space="0" w:color="auto"/>
      </w:divBdr>
    </w:div>
    <w:div w:id="1159809718">
      <w:bodyDiv w:val="1"/>
      <w:marLeft w:val="0"/>
      <w:marRight w:val="0"/>
      <w:marTop w:val="0"/>
      <w:marBottom w:val="0"/>
      <w:divBdr>
        <w:top w:val="none" w:sz="0" w:space="0" w:color="auto"/>
        <w:left w:val="none" w:sz="0" w:space="0" w:color="auto"/>
        <w:bottom w:val="none" w:sz="0" w:space="0" w:color="auto"/>
        <w:right w:val="none" w:sz="0" w:space="0" w:color="auto"/>
      </w:divBdr>
    </w:div>
    <w:div w:id="1182548814">
      <w:bodyDiv w:val="1"/>
      <w:marLeft w:val="0"/>
      <w:marRight w:val="0"/>
      <w:marTop w:val="0"/>
      <w:marBottom w:val="0"/>
      <w:divBdr>
        <w:top w:val="none" w:sz="0" w:space="0" w:color="auto"/>
        <w:left w:val="none" w:sz="0" w:space="0" w:color="auto"/>
        <w:bottom w:val="none" w:sz="0" w:space="0" w:color="auto"/>
        <w:right w:val="none" w:sz="0" w:space="0" w:color="auto"/>
      </w:divBdr>
    </w:div>
    <w:div w:id="1200508940">
      <w:bodyDiv w:val="1"/>
      <w:marLeft w:val="0"/>
      <w:marRight w:val="0"/>
      <w:marTop w:val="0"/>
      <w:marBottom w:val="0"/>
      <w:divBdr>
        <w:top w:val="none" w:sz="0" w:space="0" w:color="auto"/>
        <w:left w:val="none" w:sz="0" w:space="0" w:color="auto"/>
        <w:bottom w:val="none" w:sz="0" w:space="0" w:color="auto"/>
        <w:right w:val="none" w:sz="0" w:space="0" w:color="auto"/>
      </w:divBdr>
    </w:div>
    <w:div w:id="1229463246">
      <w:bodyDiv w:val="1"/>
      <w:marLeft w:val="0"/>
      <w:marRight w:val="0"/>
      <w:marTop w:val="0"/>
      <w:marBottom w:val="0"/>
      <w:divBdr>
        <w:top w:val="none" w:sz="0" w:space="0" w:color="auto"/>
        <w:left w:val="none" w:sz="0" w:space="0" w:color="auto"/>
        <w:bottom w:val="none" w:sz="0" w:space="0" w:color="auto"/>
        <w:right w:val="none" w:sz="0" w:space="0" w:color="auto"/>
      </w:divBdr>
    </w:div>
    <w:div w:id="1259366705">
      <w:bodyDiv w:val="1"/>
      <w:marLeft w:val="0"/>
      <w:marRight w:val="0"/>
      <w:marTop w:val="0"/>
      <w:marBottom w:val="0"/>
      <w:divBdr>
        <w:top w:val="none" w:sz="0" w:space="0" w:color="auto"/>
        <w:left w:val="none" w:sz="0" w:space="0" w:color="auto"/>
        <w:bottom w:val="none" w:sz="0" w:space="0" w:color="auto"/>
        <w:right w:val="none" w:sz="0" w:space="0" w:color="auto"/>
      </w:divBdr>
    </w:div>
    <w:div w:id="1310356390">
      <w:bodyDiv w:val="1"/>
      <w:marLeft w:val="0"/>
      <w:marRight w:val="0"/>
      <w:marTop w:val="0"/>
      <w:marBottom w:val="0"/>
      <w:divBdr>
        <w:top w:val="none" w:sz="0" w:space="0" w:color="auto"/>
        <w:left w:val="none" w:sz="0" w:space="0" w:color="auto"/>
        <w:bottom w:val="none" w:sz="0" w:space="0" w:color="auto"/>
        <w:right w:val="none" w:sz="0" w:space="0" w:color="auto"/>
      </w:divBdr>
    </w:div>
    <w:div w:id="1330019573">
      <w:bodyDiv w:val="1"/>
      <w:marLeft w:val="0"/>
      <w:marRight w:val="0"/>
      <w:marTop w:val="0"/>
      <w:marBottom w:val="0"/>
      <w:divBdr>
        <w:top w:val="none" w:sz="0" w:space="0" w:color="auto"/>
        <w:left w:val="none" w:sz="0" w:space="0" w:color="auto"/>
        <w:bottom w:val="none" w:sz="0" w:space="0" w:color="auto"/>
        <w:right w:val="none" w:sz="0" w:space="0" w:color="auto"/>
      </w:divBdr>
    </w:div>
    <w:div w:id="1334072095">
      <w:bodyDiv w:val="1"/>
      <w:marLeft w:val="0"/>
      <w:marRight w:val="0"/>
      <w:marTop w:val="0"/>
      <w:marBottom w:val="0"/>
      <w:divBdr>
        <w:top w:val="none" w:sz="0" w:space="0" w:color="auto"/>
        <w:left w:val="none" w:sz="0" w:space="0" w:color="auto"/>
        <w:bottom w:val="none" w:sz="0" w:space="0" w:color="auto"/>
        <w:right w:val="none" w:sz="0" w:space="0" w:color="auto"/>
      </w:divBdr>
    </w:div>
    <w:div w:id="1351956924">
      <w:bodyDiv w:val="1"/>
      <w:marLeft w:val="0"/>
      <w:marRight w:val="0"/>
      <w:marTop w:val="0"/>
      <w:marBottom w:val="0"/>
      <w:divBdr>
        <w:top w:val="none" w:sz="0" w:space="0" w:color="auto"/>
        <w:left w:val="none" w:sz="0" w:space="0" w:color="auto"/>
        <w:bottom w:val="none" w:sz="0" w:space="0" w:color="auto"/>
        <w:right w:val="none" w:sz="0" w:space="0" w:color="auto"/>
      </w:divBdr>
    </w:div>
    <w:div w:id="1376539619">
      <w:bodyDiv w:val="1"/>
      <w:marLeft w:val="0"/>
      <w:marRight w:val="0"/>
      <w:marTop w:val="0"/>
      <w:marBottom w:val="0"/>
      <w:divBdr>
        <w:top w:val="none" w:sz="0" w:space="0" w:color="auto"/>
        <w:left w:val="none" w:sz="0" w:space="0" w:color="auto"/>
        <w:bottom w:val="none" w:sz="0" w:space="0" w:color="auto"/>
        <w:right w:val="none" w:sz="0" w:space="0" w:color="auto"/>
      </w:divBdr>
    </w:div>
    <w:div w:id="1381977250">
      <w:bodyDiv w:val="1"/>
      <w:marLeft w:val="0"/>
      <w:marRight w:val="0"/>
      <w:marTop w:val="0"/>
      <w:marBottom w:val="0"/>
      <w:divBdr>
        <w:top w:val="none" w:sz="0" w:space="0" w:color="auto"/>
        <w:left w:val="none" w:sz="0" w:space="0" w:color="auto"/>
        <w:bottom w:val="none" w:sz="0" w:space="0" w:color="auto"/>
        <w:right w:val="none" w:sz="0" w:space="0" w:color="auto"/>
      </w:divBdr>
    </w:div>
    <w:div w:id="1398432107">
      <w:bodyDiv w:val="1"/>
      <w:marLeft w:val="0"/>
      <w:marRight w:val="0"/>
      <w:marTop w:val="0"/>
      <w:marBottom w:val="0"/>
      <w:divBdr>
        <w:top w:val="none" w:sz="0" w:space="0" w:color="auto"/>
        <w:left w:val="none" w:sz="0" w:space="0" w:color="auto"/>
        <w:bottom w:val="none" w:sz="0" w:space="0" w:color="auto"/>
        <w:right w:val="none" w:sz="0" w:space="0" w:color="auto"/>
      </w:divBdr>
    </w:div>
    <w:div w:id="1406876628">
      <w:bodyDiv w:val="1"/>
      <w:marLeft w:val="0"/>
      <w:marRight w:val="0"/>
      <w:marTop w:val="0"/>
      <w:marBottom w:val="0"/>
      <w:divBdr>
        <w:top w:val="none" w:sz="0" w:space="0" w:color="auto"/>
        <w:left w:val="none" w:sz="0" w:space="0" w:color="auto"/>
        <w:bottom w:val="none" w:sz="0" w:space="0" w:color="auto"/>
        <w:right w:val="none" w:sz="0" w:space="0" w:color="auto"/>
      </w:divBdr>
    </w:div>
    <w:div w:id="1483353759">
      <w:bodyDiv w:val="1"/>
      <w:marLeft w:val="0"/>
      <w:marRight w:val="0"/>
      <w:marTop w:val="0"/>
      <w:marBottom w:val="0"/>
      <w:divBdr>
        <w:top w:val="none" w:sz="0" w:space="0" w:color="auto"/>
        <w:left w:val="none" w:sz="0" w:space="0" w:color="auto"/>
        <w:bottom w:val="none" w:sz="0" w:space="0" w:color="auto"/>
        <w:right w:val="none" w:sz="0" w:space="0" w:color="auto"/>
      </w:divBdr>
      <w:divsChild>
        <w:div w:id="2076732536">
          <w:marLeft w:val="0"/>
          <w:marRight w:val="0"/>
          <w:marTop w:val="0"/>
          <w:marBottom w:val="0"/>
          <w:divBdr>
            <w:top w:val="none" w:sz="0" w:space="0" w:color="auto"/>
            <w:left w:val="none" w:sz="0" w:space="0" w:color="auto"/>
            <w:bottom w:val="none" w:sz="0" w:space="0" w:color="auto"/>
            <w:right w:val="none" w:sz="0" w:space="0" w:color="auto"/>
          </w:divBdr>
        </w:div>
      </w:divsChild>
    </w:div>
    <w:div w:id="1512724480">
      <w:bodyDiv w:val="1"/>
      <w:marLeft w:val="0"/>
      <w:marRight w:val="0"/>
      <w:marTop w:val="0"/>
      <w:marBottom w:val="0"/>
      <w:divBdr>
        <w:top w:val="none" w:sz="0" w:space="0" w:color="auto"/>
        <w:left w:val="none" w:sz="0" w:space="0" w:color="auto"/>
        <w:bottom w:val="none" w:sz="0" w:space="0" w:color="auto"/>
        <w:right w:val="none" w:sz="0" w:space="0" w:color="auto"/>
      </w:divBdr>
    </w:div>
    <w:div w:id="1616862053">
      <w:bodyDiv w:val="1"/>
      <w:marLeft w:val="0"/>
      <w:marRight w:val="0"/>
      <w:marTop w:val="0"/>
      <w:marBottom w:val="0"/>
      <w:divBdr>
        <w:top w:val="none" w:sz="0" w:space="0" w:color="auto"/>
        <w:left w:val="none" w:sz="0" w:space="0" w:color="auto"/>
        <w:bottom w:val="none" w:sz="0" w:space="0" w:color="auto"/>
        <w:right w:val="none" w:sz="0" w:space="0" w:color="auto"/>
      </w:divBdr>
    </w:div>
    <w:div w:id="1622147237">
      <w:bodyDiv w:val="1"/>
      <w:marLeft w:val="0"/>
      <w:marRight w:val="0"/>
      <w:marTop w:val="0"/>
      <w:marBottom w:val="0"/>
      <w:divBdr>
        <w:top w:val="none" w:sz="0" w:space="0" w:color="auto"/>
        <w:left w:val="none" w:sz="0" w:space="0" w:color="auto"/>
        <w:bottom w:val="none" w:sz="0" w:space="0" w:color="auto"/>
        <w:right w:val="none" w:sz="0" w:space="0" w:color="auto"/>
      </w:divBdr>
    </w:div>
    <w:div w:id="1674527064">
      <w:bodyDiv w:val="1"/>
      <w:marLeft w:val="0"/>
      <w:marRight w:val="0"/>
      <w:marTop w:val="0"/>
      <w:marBottom w:val="0"/>
      <w:divBdr>
        <w:top w:val="none" w:sz="0" w:space="0" w:color="auto"/>
        <w:left w:val="none" w:sz="0" w:space="0" w:color="auto"/>
        <w:bottom w:val="none" w:sz="0" w:space="0" w:color="auto"/>
        <w:right w:val="none" w:sz="0" w:space="0" w:color="auto"/>
      </w:divBdr>
    </w:div>
    <w:div w:id="1692871971">
      <w:bodyDiv w:val="1"/>
      <w:marLeft w:val="0"/>
      <w:marRight w:val="0"/>
      <w:marTop w:val="0"/>
      <w:marBottom w:val="0"/>
      <w:divBdr>
        <w:top w:val="none" w:sz="0" w:space="0" w:color="auto"/>
        <w:left w:val="none" w:sz="0" w:space="0" w:color="auto"/>
        <w:bottom w:val="none" w:sz="0" w:space="0" w:color="auto"/>
        <w:right w:val="none" w:sz="0" w:space="0" w:color="auto"/>
      </w:divBdr>
    </w:div>
    <w:div w:id="1711150684">
      <w:bodyDiv w:val="1"/>
      <w:marLeft w:val="0"/>
      <w:marRight w:val="0"/>
      <w:marTop w:val="0"/>
      <w:marBottom w:val="0"/>
      <w:divBdr>
        <w:top w:val="none" w:sz="0" w:space="0" w:color="auto"/>
        <w:left w:val="none" w:sz="0" w:space="0" w:color="auto"/>
        <w:bottom w:val="none" w:sz="0" w:space="0" w:color="auto"/>
        <w:right w:val="none" w:sz="0" w:space="0" w:color="auto"/>
      </w:divBdr>
    </w:div>
    <w:div w:id="1722628385">
      <w:bodyDiv w:val="1"/>
      <w:marLeft w:val="0"/>
      <w:marRight w:val="0"/>
      <w:marTop w:val="0"/>
      <w:marBottom w:val="0"/>
      <w:divBdr>
        <w:top w:val="none" w:sz="0" w:space="0" w:color="auto"/>
        <w:left w:val="none" w:sz="0" w:space="0" w:color="auto"/>
        <w:bottom w:val="none" w:sz="0" w:space="0" w:color="auto"/>
        <w:right w:val="none" w:sz="0" w:space="0" w:color="auto"/>
      </w:divBdr>
    </w:div>
    <w:div w:id="1724330153">
      <w:bodyDiv w:val="1"/>
      <w:marLeft w:val="0"/>
      <w:marRight w:val="0"/>
      <w:marTop w:val="0"/>
      <w:marBottom w:val="0"/>
      <w:divBdr>
        <w:top w:val="none" w:sz="0" w:space="0" w:color="auto"/>
        <w:left w:val="none" w:sz="0" w:space="0" w:color="auto"/>
        <w:bottom w:val="none" w:sz="0" w:space="0" w:color="auto"/>
        <w:right w:val="none" w:sz="0" w:space="0" w:color="auto"/>
      </w:divBdr>
    </w:div>
    <w:div w:id="1756315612">
      <w:bodyDiv w:val="1"/>
      <w:marLeft w:val="0"/>
      <w:marRight w:val="0"/>
      <w:marTop w:val="0"/>
      <w:marBottom w:val="0"/>
      <w:divBdr>
        <w:top w:val="none" w:sz="0" w:space="0" w:color="auto"/>
        <w:left w:val="none" w:sz="0" w:space="0" w:color="auto"/>
        <w:bottom w:val="none" w:sz="0" w:space="0" w:color="auto"/>
        <w:right w:val="none" w:sz="0" w:space="0" w:color="auto"/>
      </w:divBdr>
    </w:div>
    <w:div w:id="1758595076">
      <w:bodyDiv w:val="1"/>
      <w:marLeft w:val="0"/>
      <w:marRight w:val="0"/>
      <w:marTop w:val="0"/>
      <w:marBottom w:val="0"/>
      <w:divBdr>
        <w:top w:val="none" w:sz="0" w:space="0" w:color="auto"/>
        <w:left w:val="none" w:sz="0" w:space="0" w:color="auto"/>
        <w:bottom w:val="none" w:sz="0" w:space="0" w:color="auto"/>
        <w:right w:val="none" w:sz="0" w:space="0" w:color="auto"/>
      </w:divBdr>
    </w:div>
    <w:div w:id="1800341034">
      <w:bodyDiv w:val="1"/>
      <w:marLeft w:val="0"/>
      <w:marRight w:val="0"/>
      <w:marTop w:val="0"/>
      <w:marBottom w:val="0"/>
      <w:divBdr>
        <w:top w:val="none" w:sz="0" w:space="0" w:color="auto"/>
        <w:left w:val="none" w:sz="0" w:space="0" w:color="auto"/>
        <w:bottom w:val="none" w:sz="0" w:space="0" w:color="auto"/>
        <w:right w:val="none" w:sz="0" w:space="0" w:color="auto"/>
      </w:divBdr>
    </w:div>
    <w:div w:id="1850368978">
      <w:bodyDiv w:val="1"/>
      <w:marLeft w:val="0"/>
      <w:marRight w:val="0"/>
      <w:marTop w:val="0"/>
      <w:marBottom w:val="0"/>
      <w:divBdr>
        <w:top w:val="none" w:sz="0" w:space="0" w:color="auto"/>
        <w:left w:val="none" w:sz="0" w:space="0" w:color="auto"/>
        <w:bottom w:val="none" w:sz="0" w:space="0" w:color="auto"/>
        <w:right w:val="none" w:sz="0" w:space="0" w:color="auto"/>
      </w:divBdr>
    </w:div>
    <w:div w:id="1867719329">
      <w:bodyDiv w:val="1"/>
      <w:marLeft w:val="0"/>
      <w:marRight w:val="0"/>
      <w:marTop w:val="0"/>
      <w:marBottom w:val="0"/>
      <w:divBdr>
        <w:top w:val="none" w:sz="0" w:space="0" w:color="auto"/>
        <w:left w:val="none" w:sz="0" w:space="0" w:color="auto"/>
        <w:bottom w:val="none" w:sz="0" w:space="0" w:color="auto"/>
        <w:right w:val="none" w:sz="0" w:space="0" w:color="auto"/>
      </w:divBdr>
    </w:div>
    <w:div w:id="1880778763">
      <w:bodyDiv w:val="1"/>
      <w:marLeft w:val="0"/>
      <w:marRight w:val="0"/>
      <w:marTop w:val="0"/>
      <w:marBottom w:val="0"/>
      <w:divBdr>
        <w:top w:val="none" w:sz="0" w:space="0" w:color="auto"/>
        <w:left w:val="none" w:sz="0" w:space="0" w:color="auto"/>
        <w:bottom w:val="none" w:sz="0" w:space="0" w:color="auto"/>
        <w:right w:val="none" w:sz="0" w:space="0" w:color="auto"/>
      </w:divBdr>
    </w:div>
    <w:div w:id="1888179057">
      <w:bodyDiv w:val="1"/>
      <w:marLeft w:val="0"/>
      <w:marRight w:val="0"/>
      <w:marTop w:val="0"/>
      <w:marBottom w:val="0"/>
      <w:divBdr>
        <w:top w:val="none" w:sz="0" w:space="0" w:color="auto"/>
        <w:left w:val="none" w:sz="0" w:space="0" w:color="auto"/>
        <w:bottom w:val="none" w:sz="0" w:space="0" w:color="auto"/>
        <w:right w:val="none" w:sz="0" w:space="0" w:color="auto"/>
      </w:divBdr>
    </w:div>
    <w:div w:id="1908148038">
      <w:bodyDiv w:val="1"/>
      <w:marLeft w:val="0"/>
      <w:marRight w:val="0"/>
      <w:marTop w:val="0"/>
      <w:marBottom w:val="0"/>
      <w:divBdr>
        <w:top w:val="none" w:sz="0" w:space="0" w:color="auto"/>
        <w:left w:val="none" w:sz="0" w:space="0" w:color="auto"/>
        <w:bottom w:val="none" w:sz="0" w:space="0" w:color="auto"/>
        <w:right w:val="none" w:sz="0" w:space="0" w:color="auto"/>
      </w:divBdr>
    </w:div>
    <w:div w:id="1924601676">
      <w:bodyDiv w:val="1"/>
      <w:marLeft w:val="0"/>
      <w:marRight w:val="0"/>
      <w:marTop w:val="0"/>
      <w:marBottom w:val="0"/>
      <w:divBdr>
        <w:top w:val="none" w:sz="0" w:space="0" w:color="auto"/>
        <w:left w:val="none" w:sz="0" w:space="0" w:color="auto"/>
        <w:bottom w:val="none" w:sz="0" w:space="0" w:color="auto"/>
        <w:right w:val="none" w:sz="0" w:space="0" w:color="auto"/>
      </w:divBdr>
    </w:div>
    <w:div w:id="1947927182">
      <w:bodyDiv w:val="1"/>
      <w:marLeft w:val="0"/>
      <w:marRight w:val="0"/>
      <w:marTop w:val="0"/>
      <w:marBottom w:val="0"/>
      <w:divBdr>
        <w:top w:val="none" w:sz="0" w:space="0" w:color="auto"/>
        <w:left w:val="none" w:sz="0" w:space="0" w:color="auto"/>
        <w:bottom w:val="none" w:sz="0" w:space="0" w:color="auto"/>
        <w:right w:val="none" w:sz="0" w:space="0" w:color="auto"/>
      </w:divBdr>
    </w:div>
    <w:div w:id="1966080779">
      <w:bodyDiv w:val="1"/>
      <w:marLeft w:val="0"/>
      <w:marRight w:val="0"/>
      <w:marTop w:val="0"/>
      <w:marBottom w:val="0"/>
      <w:divBdr>
        <w:top w:val="none" w:sz="0" w:space="0" w:color="auto"/>
        <w:left w:val="none" w:sz="0" w:space="0" w:color="auto"/>
        <w:bottom w:val="none" w:sz="0" w:space="0" w:color="auto"/>
        <w:right w:val="none" w:sz="0" w:space="0" w:color="auto"/>
      </w:divBdr>
    </w:div>
    <w:div w:id="1984695374">
      <w:bodyDiv w:val="1"/>
      <w:marLeft w:val="0"/>
      <w:marRight w:val="0"/>
      <w:marTop w:val="0"/>
      <w:marBottom w:val="0"/>
      <w:divBdr>
        <w:top w:val="none" w:sz="0" w:space="0" w:color="auto"/>
        <w:left w:val="none" w:sz="0" w:space="0" w:color="auto"/>
        <w:bottom w:val="none" w:sz="0" w:space="0" w:color="auto"/>
        <w:right w:val="none" w:sz="0" w:space="0" w:color="auto"/>
      </w:divBdr>
    </w:div>
    <w:div w:id="1987541977">
      <w:bodyDiv w:val="1"/>
      <w:marLeft w:val="0"/>
      <w:marRight w:val="0"/>
      <w:marTop w:val="0"/>
      <w:marBottom w:val="0"/>
      <w:divBdr>
        <w:top w:val="none" w:sz="0" w:space="0" w:color="auto"/>
        <w:left w:val="none" w:sz="0" w:space="0" w:color="auto"/>
        <w:bottom w:val="none" w:sz="0" w:space="0" w:color="auto"/>
        <w:right w:val="none" w:sz="0" w:space="0" w:color="auto"/>
      </w:divBdr>
    </w:div>
    <w:div w:id="2006738224">
      <w:bodyDiv w:val="1"/>
      <w:marLeft w:val="0"/>
      <w:marRight w:val="0"/>
      <w:marTop w:val="0"/>
      <w:marBottom w:val="0"/>
      <w:divBdr>
        <w:top w:val="none" w:sz="0" w:space="0" w:color="auto"/>
        <w:left w:val="none" w:sz="0" w:space="0" w:color="auto"/>
        <w:bottom w:val="none" w:sz="0" w:space="0" w:color="auto"/>
        <w:right w:val="none" w:sz="0" w:space="0" w:color="auto"/>
      </w:divBdr>
    </w:div>
    <w:div w:id="2032493528">
      <w:bodyDiv w:val="1"/>
      <w:marLeft w:val="0"/>
      <w:marRight w:val="0"/>
      <w:marTop w:val="0"/>
      <w:marBottom w:val="0"/>
      <w:divBdr>
        <w:top w:val="none" w:sz="0" w:space="0" w:color="auto"/>
        <w:left w:val="none" w:sz="0" w:space="0" w:color="auto"/>
        <w:bottom w:val="none" w:sz="0" w:space="0" w:color="auto"/>
        <w:right w:val="none" w:sz="0" w:space="0" w:color="auto"/>
      </w:divBdr>
    </w:div>
    <w:div w:id="2043169823">
      <w:bodyDiv w:val="1"/>
      <w:marLeft w:val="0"/>
      <w:marRight w:val="0"/>
      <w:marTop w:val="0"/>
      <w:marBottom w:val="0"/>
      <w:divBdr>
        <w:top w:val="none" w:sz="0" w:space="0" w:color="auto"/>
        <w:left w:val="none" w:sz="0" w:space="0" w:color="auto"/>
        <w:bottom w:val="none" w:sz="0" w:space="0" w:color="auto"/>
        <w:right w:val="none" w:sz="0" w:space="0" w:color="auto"/>
      </w:divBdr>
    </w:div>
    <w:div w:id="2052994731">
      <w:bodyDiv w:val="1"/>
      <w:marLeft w:val="0"/>
      <w:marRight w:val="0"/>
      <w:marTop w:val="0"/>
      <w:marBottom w:val="0"/>
      <w:divBdr>
        <w:top w:val="none" w:sz="0" w:space="0" w:color="auto"/>
        <w:left w:val="none" w:sz="0" w:space="0" w:color="auto"/>
        <w:bottom w:val="none" w:sz="0" w:space="0" w:color="auto"/>
        <w:right w:val="none" w:sz="0" w:space="0" w:color="auto"/>
      </w:divBdr>
    </w:div>
    <w:div w:id="2056276249">
      <w:bodyDiv w:val="1"/>
      <w:marLeft w:val="0"/>
      <w:marRight w:val="0"/>
      <w:marTop w:val="0"/>
      <w:marBottom w:val="0"/>
      <w:divBdr>
        <w:top w:val="none" w:sz="0" w:space="0" w:color="auto"/>
        <w:left w:val="none" w:sz="0" w:space="0" w:color="auto"/>
        <w:bottom w:val="none" w:sz="0" w:space="0" w:color="auto"/>
        <w:right w:val="none" w:sz="0" w:space="0" w:color="auto"/>
      </w:divBdr>
    </w:div>
    <w:div w:id="21345175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nico.labuschagne@up.ac.za" TargetMode="External"/><Relationship Id="rId13" Type="http://schemas.openxmlformats.org/officeDocument/2006/relationships/image" Target="media/image5.TIF"/><Relationship Id="rId18" Type="http://schemas.openxmlformats.org/officeDocument/2006/relationships/image" Target="media/image10.TIF"/><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4.TIF"/><Relationship Id="rId17" Type="http://schemas.openxmlformats.org/officeDocument/2006/relationships/image" Target="media/image9.TIF"/><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fontTable" Target="fontTable.xml"/><Relationship Id="rId10" Type="http://schemas.openxmlformats.org/officeDocument/2006/relationships/image" Target="media/image2.emf"/><Relationship Id="rId19" Type="http://schemas.openxmlformats.org/officeDocument/2006/relationships/image" Target="media/image11.tiff"/><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926B79F-194A-464E-A453-4FF0F05175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8</Pages>
  <Words>1805</Words>
  <Characters>10293</Characters>
  <Application>Microsoft Office Word</Application>
  <DocSecurity>0</DocSecurity>
  <Lines>85</Lines>
  <Paragraphs>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12074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René Carlson</dc:creator>
  <cp:keywords/>
  <dc:description/>
  <cp:lastModifiedBy>René Carlson</cp:lastModifiedBy>
  <cp:revision>3</cp:revision>
  <cp:lastPrinted>2019-04-08T10:49:00Z</cp:lastPrinted>
  <dcterms:created xsi:type="dcterms:W3CDTF">2019-07-11T20:04:00Z</dcterms:created>
  <dcterms:modified xsi:type="dcterms:W3CDTF">2019-07-12T09:26:00Z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http://www.zotero.org/styles/american-chemical-society</vt:lpwstr>
  </property>
  <property fmtid="{D5CDD505-2E9C-101B-9397-08002B2CF9AE}" pid="3" name="Mendeley Recent Style Name 0_1">
    <vt:lpwstr>American Chemical Society</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http://www.zotero.org/styles/american-sociological-association</vt:lpwstr>
  </property>
  <property fmtid="{D5CDD505-2E9C-101B-9397-08002B2CF9AE}" pid="7" name="Mendeley Recent Style Name 2_1">
    <vt:lpwstr>American Sociological Association</vt:lpwstr>
  </property>
  <property fmtid="{D5CDD505-2E9C-101B-9397-08002B2CF9AE}" pid="8" name="Mendeley Recent Style Id 3_1">
    <vt:lpwstr>http://www.zotero.org/styles/chicago-author-date</vt:lpwstr>
  </property>
  <property fmtid="{D5CDD505-2E9C-101B-9397-08002B2CF9AE}" pid="9" name="Mendeley Recent Style Name 3_1">
    <vt:lpwstr>Chicago Manual of Style 17th edition (author-date)</vt:lpwstr>
  </property>
  <property fmtid="{D5CDD505-2E9C-101B-9397-08002B2CF9AE}" pid="10" name="Mendeley Recent Style Id 4_1">
    <vt:lpwstr>http://www.zotero.org/styles/chicago-fullnote-bibliography</vt:lpwstr>
  </property>
  <property fmtid="{D5CDD505-2E9C-101B-9397-08002B2CF9AE}" pid="11" name="Mendeley Recent Style Name 4_1">
    <vt:lpwstr>Chicago Manual of Style 17th edition (full note)</vt:lpwstr>
  </property>
  <property fmtid="{D5CDD505-2E9C-101B-9397-08002B2CF9AE}" pid="12" name="Mendeley Recent Style Id 5_1">
    <vt:lpwstr>http://www.zotero.org/styles/ieee</vt:lpwstr>
  </property>
  <property fmtid="{D5CDD505-2E9C-101B-9397-08002B2CF9AE}" pid="13" name="Mendeley Recent Style Name 5_1">
    <vt:lpwstr>IEEE</vt:lpwstr>
  </property>
  <property fmtid="{D5CDD505-2E9C-101B-9397-08002B2CF9AE}" pid="14" name="Mendeley Recent Style Id 6_1">
    <vt:lpwstr>http://www.zotero.org/styles/metabolites</vt:lpwstr>
  </property>
  <property fmtid="{D5CDD505-2E9C-101B-9397-08002B2CF9AE}" pid="15" name="Mendeley Recent Style Name 6_1">
    <vt:lpwstr>Metabolites</vt:lpwstr>
  </property>
  <property fmtid="{D5CDD505-2E9C-101B-9397-08002B2CF9AE}" pid="16" name="Mendeley Recent Style Id 7_1">
    <vt:lpwstr>http://www.zotero.org/styles/nature</vt:lpwstr>
  </property>
  <property fmtid="{D5CDD505-2E9C-101B-9397-08002B2CF9AE}" pid="17" name="Mendeley Recent Style Name 7_1">
    <vt:lpwstr>Nature</vt:lpwstr>
  </property>
  <property fmtid="{D5CDD505-2E9C-101B-9397-08002B2CF9AE}" pid="18" name="Mendeley Recent Style Id 8_1">
    <vt:lpwstr>http://www.zotero.org/styles/phytopathology</vt:lpwstr>
  </property>
  <property fmtid="{D5CDD505-2E9C-101B-9397-08002B2CF9AE}" pid="19" name="Mendeley Recent Style Name 8_1">
    <vt:lpwstr>Phytopathology</vt:lpwstr>
  </property>
  <property fmtid="{D5CDD505-2E9C-101B-9397-08002B2CF9AE}" pid="20" name="Mendeley Recent Style Id 9_1">
    <vt:lpwstr>http://www.zotero.org/styles/plant-pathology</vt:lpwstr>
  </property>
  <property fmtid="{D5CDD505-2E9C-101B-9397-08002B2CF9AE}" pid="21" name="Mendeley Recent Style Name 9_1">
    <vt:lpwstr>Plant Pathology</vt:lpwstr>
  </property>
  <property fmtid="{D5CDD505-2E9C-101B-9397-08002B2CF9AE}" pid="22" name="Mendeley Document_1">
    <vt:lpwstr>True</vt:lpwstr>
  </property>
  <property fmtid="{D5CDD505-2E9C-101B-9397-08002B2CF9AE}" pid="23" name="Mendeley Unique User Id_1">
    <vt:lpwstr>72eecb97-f89b-385f-8a28-a70e5ea476d4</vt:lpwstr>
  </property>
  <property fmtid="{D5CDD505-2E9C-101B-9397-08002B2CF9AE}" pid="24" name="Mendeley Citation Style_1">
    <vt:lpwstr>http://www.zotero.org/styles/metabolites</vt:lpwstr>
  </property>
</Properties>
</file>