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998" w:rsidRPr="00C856F1" w:rsidRDefault="00483998" w:rsidP="00483998">
      <w:pPr>
        <w:jc w:val="center"/>
        <w:rPr>
          <w:rFonts w:ascii="Courier New" w:eastAsiaTheme="minorHAnsi" w:hAnsi="Courier New" w:cs="Courier New"/>
        </w:rPr>
      </w:pPr>
      <w:r w:rsidRPr="00C856F1">
        <w:rPr>
          <w:rFonts w:ascii="Courier New" w:eastAsiaTheme="minorHAnsi" w:hAnsi="Courier New" w:cs="Courier New"/>
          <w:noProof/>
          <w:lang w:val="en-GB" w:eastAsia="en-GB"/>
        </w:rPr>
        <w:drawing>
          <wp:inline distT="0" distB="0" distL="0" distR="0" wp14:anchorId="647683AA" wp14:editId="31A5F995">
            <wp:extent cx="4381500" cy="2533650"/>
            <wp:effectExtent l="0" t="0" r="0" b="0"/>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83998" w:rsidRPr="00C856F1" w:rsidRDefault="00483998" w:rsidP="00483998">
      <w:pPr>
        <w:jc w:val="center"/>
        <w:rPr>
          <w:rFonts w:eastAsiaTheme="minorHAnsi"/>
          <w:sz w:val="24"/>
          <w:szCs w:val="24"/>
        </w:rPr>
      </w:pPr>
      <w:r w:rsidRPr="00C856F1">
        <w:rPr>
          <w:rFonts w:eastAsiaTheme="minorHAnsi"/>
          <w:sz w:val="24"/>
          <w:szCs w:val="24"/>
        </w:rPr>
        <w:t>A</w:t>
      </w:r>
    </w:p>
    <w:p w:rsidR="00483998" w:rsidRPr="00C856F1" w:rsidRDefault="00483998" w:rsidP="00483998">
      <w:pPr>
        <w:jc w:val="center"/>
        <w:rPr>
          <w:rFonts w:ascii="Courier New" w:eastAsiaTheme="minorHAnsi" w:hAnsi="Courier New" w:cs="Courier New"/>
        </w:rPr>
      </w:pPr>
      <w:r w:rsidRPr="00C856F1">
        <w:rPr>
          <w:rFonts w:ascii="Courier New" w:eastAsiaTheme="minorHAnsi" w:hAnsi="Courier New" w:cs="Courier New"/>
          <w:noProof/>
          <w:lang w:val="en-GB" w:eastAsia="en-GB"/>
        </w:rPr>
        <w:drawing>
          <wp:inline distT="0" distB="0" distL="0" distR="0" wp14:anchorId="4764A763" wp14:editId="7B766E22">
            <wp:extent cx="4371975" cy="2276475"/>
            <wp:effectExtent l="0" t="0" r="0" b="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83998" w:rsidRPr="00C856F1" w:rsidRDefault="00483998" w:rsidP="00483998">
      <w:pPr>
        <w:jc w:val="center"/>
        <w:rPr>
          <w:rFonts w:eastAsiaTheme="minorHAnsi"/>
          <w:sz w:val="24"/>
          <w:szCs w:val="24"/>
        </w:rPr>
      </w:pPr>
      <w:r w:rsidRPr="00C856F1">
        <w:rPr>
          <w:rFonts w:eastAsiaTheme="minorHAnsi"/>
          <w:sz w:val="24"/>
          <w:szCs w:val="24"/>
        </w:rPr>
        <w:t>B</w:t>
      </w:r>
    </w:p>
    <w:p w:rsidR="00483998" w:rsidRPr="00C856F1" w:rsidRDefault="00483998" w:rsidP="00483998">
      <w:pPr>
        <w:jc w:val="center"/>
        <w:rPr>
          <w:rFonts w:ascii="Courier New" w:eastAsiaTheme="minorHAnsi" w:hAnsi="Courier New" w:cs="Courier New"/>
        </w:rPr>
      </w:pPr>
      <w:r w:rsidRPr="00C856F1">
        <w:rPr>
          <w:rFonts w:ascii="Courier New" w:eastAsiaTheme="minorHAnsi" w:hAnsi="Courier New" w:cs="Courier New"/>
          <w:noProof/>
          <w:lang w:val="en-GB" w:eastAsia="en-GB"/>
        </w:rPr>
        <w:drawing>
          <wp:inline distT="0" distB="0" distL="0" distR="0" wp14:anchorId="096C0125" wp14:editId="0F74A669">
            <wp:extent cx="4362450" cy="2486025"/>
            <wp:effectExtent l="0" t="0" r="0" b="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83998" w:rsidRPr="00C856F1" w:rsidRDefault="00483998" w:rsidP="00483998">
      <w:pPr>
        <w:jc w:val="center"/>
        <w:rPr>
          <w:rFonts w:eastAsiaTheme="minorHAnsi"/>
          <w:sz w:val="24"/>
          <w:szCs w:val="24"/>
        </w:rPr>
      </w:pPr>
      <w:r w:rsidRPr="00C856F1">
        <w:rPr>
          <w:rFonts w:eastAsiaTheme="minorHAnsi"/>
          <w:sz w:val="24"/>
          <w:szCs w:val="24"/>
        </w:rPr>
        <w:t>C</w:t>
      </w:r>
    </w:p>
    <w:p w:rsidR="00483998" w:rsidRPr="00C856F1" w:rsidRDefault="000A4D1B" w:rsidP="00483998">
      <w:pPr>
        <w:jc w:val="both"/>
        <w:rPr>
          <w:rFonts w:eastAsiaTheme="minorHAnsi"/>
          <w:sz w:val="24"/>
          <w:szCs w:val="24"/>
        </w:rPr>
      </w:pPr>
      <w:r>
        <w:rPr>
          <w:rFonts w:eastAsiaTheme="minorHAnsi"/>
          <w:b/>
          <w:sz w:val="24"/>
          <w:szCs w:val="24"/>
        </w:rPr>
        <w:t>Figure S3</w:t>
      </w:r>
      <w:bookmarkStart w:id="0" w:name="_GoBack"/>
      <w:bookmarkEnd w:id="0"/>
      <w:r w:rsidR="00483998" w:rsidRPr="00C856F1">
        <w:rPr>
          <w:rFonts w:eastAsiaTheme="minorHAnsi"/>
          <w:b/>
          <w:sz w:val="24"/>
          <w:szCs w:val="24"/>
        </w:rPr>
        <w:t>.</w:t>
      </w:r>
      <w:r w:rsidR="00483998" w:rsidRPr="00C856F1">
        <w:rPr>
          <w:rFonts w:eastAsiaTheme="minorHAnsi"/>
          <w:sz w:val="24"/>
          <w:szCs w:val="24"/>
        </w:rPr>
        <w:t xml:space="preserve"> Propensities of helix (A), β-turn (B) and bending (C) averaged over 1000 frames (1000 ns) for </w:t>
      </w:r>
      <w:r w:rsidR="00483998" w:rsidRPr="00C856F1">
        <w:rPr>
          <w:rFonts w:eastAsiaTheme="minorHAnsi"/>
          <w:sz w:val="24"/>
          <w:szCs w:val="24"/>
          <w:lang w:val="en-GB"/>
        </w:rPr>
        <w:t xml:space="preserve">of 12 Aβ monomers (grey), 12 Aβ monomers and 12 CU molecules (pink), 12 Aβ monomers and 36 CU molecules (red), 12 Aβ monomers and 12 FA anions (light green), 12 Aβ monomers and 36 FA anions (dark green). </w:t>
      </w:r>
    </w:p>
    <w:sectPr w:rsidR="00483998" w:rsidRPr="00C856F1" w:rsidSect="000A4D1B">
      <w:pgSz w:w="12240" w:h="15840"/>
      <w:pgMar w:top="568"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501" w:rsidRDefault="008C5501" w:rsidP="00CE339F">
      <w:pPr>
        <w:spacing w:after="0" w:line="240" w:lineRule="auto"/>
      </w:pPr>
      <w:r>
        <w:separator/>
      </w:r>
    </w:p>
  </w:endnote>
  <w:endnote w:type="continuationSeparator" w:id="0">
    <w:p w:rsidR="008C5501" w:rsidRDefault="008C5501" w:rsidP="00CE3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501" w:rsidRDefault="008C5501" w:rsidP="00CE339F">
      <w:pPr>
        <w:spacing w:after="0" w:line="240" w:lineRule="auto"/>
      </w:pPr>
      <w:r>
        <w:separator/>
      </w:r>
    </w:p>
  </w:footnote>
  <w:footnote w:type="continuationSeparator" w:id="0">
    <w:p w:rsidR="008C5501" w:rsidRDefault="008C5501" w:rsidP="00CE3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E506B"/>
    <w:multiLevelType w:val="hybridMultilevel"/>
    <w:tmpl w:val="DCAA0A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63A0276"/>
    <w:multiLevelType w:val="hybridMultilevel"/>
    <w:tmpl w:val="2DD8039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06703BF"/>
    <w:multiLevelType w:val="hybridMultilevel"/>
    <w:tmpl w:val="1688C336"/>
    <w:lvl w:ilvl="0" w:tplc="4CA234F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9218DD"/>
    <w:multiLevelType w:val="multilevel"/>
    <w:tmpl w:val="5FEEACF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i/>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919"/>
    <w:rsid w:val="0000005A"/>
    <w:rsid w:val="00000848"/>
    <w:rsid w:val="00002772"/>
    <w:rsid w:val="00011751"/>
    <w:rsid w:val="00016939"/>
    <w:rsid w:val="00032CDC"/>
    <w:rsid w:val="00034DD2"/>
    <w:rsid w:val="00056659"/>
    <w:rsid w:val="00066570"/>
    <w:rsid w:val="00072578"/>
    <w:rsid w:val="0007599C"/>
    <w:rsid w:val="00077EF6"/>
    <w:rsid w:val="000906F5"/>
    <w:rsid w:val="00095AA2"/>
    <w:rsid w:val="00096406"/>
    <w:rsid w:val="000A4D1B"/>
    <w:rsid w:val="000A67D6"/>
    <w:rsid w:val="000A6F57"/>
    <w:rsid w:val="000D55B5"/>
    <w:rsid w:val="000E5515"/>
    <w:rsid w:val="000F17E7"/>
    <w:rsid w:val="000F287D"/>
    <w:rsid w:val="000F4F48"/>
    <w:rsid w:val="001047D1"/>
    <w:rsid w:val="0011130C"/>
    <w:rsid w:val="00115489"/>
    <w:rsid w:val="00125006"/>
    <w:rsid w:val="0017172F"/>
    <w:rsid w:val="00175757"/>
    <w:rsid w:val="00182D63"/>
    <w:rsid w:val="00183961"/>
    <w:rsid w:val="001929DE"/>
    <w:rsid w:val="00193CEA"/>
    <w:rsid w:val="00197F28"/>
    <w:rsid w:val="00197FFC"/>
    <w:rsid w:val="001B1C07"/>
    <w:rsid w:val="001D5DA3"/>
    <w:rsid w:val="001E1D5D"/>
    <w:rsid w:val="001E345B"/>
    <w:rsid w:val="001E5837"/>
    <w:rsid w:val="001F1807"/>
    <w:rsid w:val="001F1F09"/>
    <w:rsid w:val="001F554C"/>
    <w:rsid w:val="00207E69"/>
    <w:rsid w:val="002157D9"/>
    <w:rsid w:val="00216291"/>
    <w:rsid w:val="002240D2"/>
    <w:rsid w:val="0023384F"/>
    <w:rsid w:val="002516AD"/>
    <w:rsid w:val="002806EA"/>
    <w:rsid w:val="00281FAA"/>
    <w:rsid w:val="00282543"/>
    <w:rsid w:val="002879A6"/>
    <w:rsid w:val="00296E18"/>
    <w:rsid w:val="002A24C2"/>
    <w:rsid w:val="002B38C8"/>
    <w:rsid w:val="002C093D"/>
    <w:rsid w:val="002E1AA9"/>
    <w:rsid w:val="002F0138"/>
    <w:rsid w:val="00303A22"/>
    <w:rsid w:val="00311F6E"/>
    <w:rsid w:val="00322ACC"/>
    <w:rsid w:val="0033652E"/>
    <w:rsid w:val="003472F8"/>
    <w:rsid w:val="00355C52"/>
    <w:rsid w:val="0035769E"/>
    <w:rsid w:val="003611AF"/>
    <w:rsid w:val="00363132"/>
    <w:rsid w:val="00384EEF"/>
    <w:rsid w:val="00386D53"/>
    <w:rsid w:val="0039334A"/>
    <w:rsid w:val="003B08C2"/>
    <w:rsid w:val="003D623E"/>
    <w:rsid w:val="003E1CCF"/>
    <w:rsid w:val="003F00D5"/>
    <w:rsid w:val="003F6157"/>
    <w:rsid w:val="0040117D"/>
    <w:rsid w:val="00404A06"/>
    <w:rsid w:val="00406FE2"/>
    <w:rsid w:val="00416490"/>
    <w:rsid w:val="004215FB"/>
    <w:rsid w:val="00421CEE"/>
    <w:rsid w:val="004321BC"/>
    <w:rsid w:val="004328F8"/>
    <w:rsid w:val="00435433"/>
    <w:rsid w:val="004437A8"/>
    <w:rsid w:val="00451144"/>
    <w:rsid w:val="0045279D"/>
    <w:rsid w:val="004569F1"/>
    <w:rsid w:val="0046438D"/>
    <w:rsid w:val="00474CCB"/>
    <w:rsid w:val="00483998"/>
    <w:rsid w:val="004A7800"/>
    <w:rsid w:val="004C4BAF"/>
    <w:rsid w:val="004C7C7B"/>
    <w:rsid w:val="004E356E"/>
    <w:rsid w:val="004E504F"/>
    <w:rsid w:val="004E72DF"/>
    <w:rsid w:val="004F17D7"/>
    <w:rsid w:val="004F617E"/>
    <w:rsid w:val="0051148E"/>
    <w:rsid w:val="00513DA8"/>
    <w:rsid w:val="00513EFC"/>
    <w:rsid w:val="005146CC"/>
    <w:rsid w:val="00515B2E"/>
    <w:rsid w:val="00516E20"/>
    <w:rsid w:val="00517B9B"/>
    <w:rsid w:val="00517C0F"/>
    <w:rsid w:val="00523EF1"/>
    <w:rsid w:val="00526122"/>
    <w:rsid w:val="005264CB"/>
    <w:rsid w:val="00531D78"/>
    <w:rsid w:val="0053227F"/>
    <w:rsid w:val="00537AED"/>
    <w:rsid w:val="00541110"/>
    <w:rsid w:val="00550A71"/>
    <w:rsid w:val="00553211"/>
    <w:rsid w:val="00556271"/>
    <w:rsid w:val="005663CD"/>
    <w:rsid w:val="00571547"/>
    <w:rsid w:val="00577356"/>
    <w:rsid w:val="00581689"/>
    <w:rsid w:val="0058247A"/>
    <w:rsid w:val="005841D5"/>
    <w:rsid w:val="00584CDF"/>
    <w:rsid w:val="00586024"/>
    <w:rsid w:val="00594837"/>
    <w:rsid w:val="005A0F01"/>
    <w:rsid w:val="005A2D8A"/>
    <w:rsid w:val="005A7D42"/>
    <w:rsid w:val="005D638E"/>
    <w:rsid w:val="005E0A54"/>
    <w:rsid w:val="005E1B3A"/>
    <w:rsid w:val="005E2CAC"/>
    <w:rsid w:val="005F6631"/>
    <w:rsid w:val="005F69E0"/>
    <w:rsid w:val="006017B7"/>
    <w:rsid w:val="00614970"/>
    <w:rsid w:val="00615107"/>
    <w:rsid w:val="0062463A"/>
    <w:rsid w:val="0063524F"/>
    <w:rsid w:val="0063796C"/>
    <w:rsid w:val="006558CC"/>
    <w:rsid w:val="006666A7"/>
    <w:rsid w:val="0067444F"/>
    <w:rsid w:val="00676D4D"/>
    <w:rsid w:val="00677FAA"/>
    <w:rsid w:val="006843CF"/>
    <w:rsid w:val="00687C04"/>
    <w:rsid w:val="00692DC4"/>
    <w:rsid w:val="00696481"/>
    <w:rsid w:val="00697560"/>
    <w:rsid w:val="006A337A"/>
    <w:rsid w:val="006B2C20"/>
    <w:rsid w:val="006B4B55"/>
    <w:rsid w:val="006C0752"/>
    <w:rsid w:val="006D4B02"/>
    <w:rsid w:val="006E0516"/>
    <w:rsid w:val="006E509B"/>
    <w:rsid w:val="006E561B"/>
    <w:rsid w:val="006F400A"/>
    <w:rsid w:val="006F5C59"/>
    <w:rsid w:val="007025F7"/>
    <w:rsid w:val="007110B4"/>
    <w:rsid w:val="00714248"/>
    <w:rsid w:val="0072012D"/>
    <w:rsid w:val="00724BA1"/>
    <w:rsid w:val="0073223D"/>
    <w:rsid w:val="00747850"/>
    <w:rsid w:val="00747AFB"/>
    <w:rsid w:val="00760602"/>
    <w:rsid w:val="00761397"/>
    <w:rsid w:val="007855D8"/>
    <w:rsid w:val="00790F68"/>
    <w:rsid w:val="007A66A1"/>
    <w:rsid w:val="007A735C"/>
    <w:rsid w:val="007D6F93"/>
    <w:rsid w:val="007F480A"/>
    <w:rsid w:val="00805981"/>
    <w:rsid w:val="00813B48"/>
    <w:rsid w:val="008346D6"/>
    <w:rsid w:val="0083674B"/>
    <w:rsid w:val="00856F94"/>
    <w:rsid w:val="00882556"/>
    <w:rsid w:val="00883DC1"/>
    <w:rsid w:val="00890979"/>
    <w:rsid w:val="00891605"/>
    <w:rsid w:val="008C5501"/>
    <w:rsid w:val="008D21D8"/>
    <w:rsid w:val="008E429C"/>
    <w:rsid w:val="00903B70"/>
    <w:rsid w:val="0091008D"/>
    <w:rsid w:val="00951C8E"/>
    <w:rsid w:val="009736C1"/>
    <w:rsid w:val="00975A5A"/>
    <w:rsid w:val="00983299"/>
    <w:rsid w:val="009929D9"/>
    <w:rsid w:val="009960FC"/>
    <w:rsid w:val="009B42EA"/>
    <w:rsid w:val="009C6FC1"/>
    <w:rsid w:val="009D37ED"/>
    <w:rsid w:val="009D7A7F"/>
    <w:rsid w:val="009E0B98"/>
    <w:rsid w:val="009E1A7C"/>
    <w:rsid w:val="009E7664"/>
    <w:rsid w:val="009E7D02"/>
    <w:rsid w:val="009F0136"/>
    <w:rsid w:val="009F2316"/>
    <w:rsid w:val="009F3F03"/>
    <w:rsid w:val="009F7982"/>
    <w:rsid w:val="009F7DF2"/>
    <w:rsid w:val="00A13D09"/>
    <w:rsid w:val="00A16356"/>
    <w:rsid w:val="00A2283A"/>
    <w:rsid w:val="00A22ADF"/>
    <w:rsid w:val="00A33D6D"/>
    <w:rsid w:val="00A42B68"/>
    <w:rsid w:val="00A45A00"/>
    <w:rsid w:val="00A50D5B"/>
    <w:rsid w:val="00A647CD"/>
    <w:rsid w:val="00A70BEF"/>
    <w:rsid w:val="00A82A28"/>
    <w:rsid w:val="00A95137"/>
    <w:rsid w:val="00AA4675"/>
    <w:rsid w:val="00AA73F4"/>
    <w:rsid w:val="00AC5E44"/>
    <w:rsid w:val="00AC76AB"/>
    <w:rsid w:val="00AD014B"/>
    <w:rsid w:val="00AD100E"/>
    <w:rsid w:val="00AD5825"/>
    <w:rsid w:val="00AD6D4B"/>
    <w:rsid w:val="00AE3312"/>
    <w:rsid w:val="00AE5919"/>
    <w:rsid w:val="00B031B0"/>
    <w:rsid w:val="00B10E89"/>
    <w:rsid w:val="00B232A9"/>
    <w:rsid w:val="00B30402"/>
    <w:rsid w:val="00B3136D"/>
    <w:rsid w:val="00B35569"/>
    <w:rsid w:val="00B425E2"/>
    <w:rsid w:val="00B42CFA"/>
    <w:rsid w:val="00B442E3"/>
    <w:rsid w:val="00B45E41"/>
    <w:rsid w:val="00B576E1"/>
    <w:rsid w:val="00B646AF"/>
    <w:rsid w:val="00B66991"/>
    <w:rsid w:val="00B73ED0"/>
    <w:rsid w:val="00B761C0"/>
    <w:rsid w:val="00B87D4A"/>
    <w:rsid w:val="00B94DF7"/>
    <w:rsid w:val="00BA1131"/>
    <w:rsid w:val="00BA5157"/>
    <w:rsid w:val="00BC43A6"/>
    <w:rsid w:val="00BD2A7B"/>
    <w:rsid w:val="00BD69B5"/>
    <w:rsid w:val="00BD6A97"/>
    <w:rsid w:val="00BE236A"/>
    <w:rsid w:val="00BF15BB"/>
    <w:rsid w:val="00BF4D81"/>
    <w:rsid w:val="00C01145"/>
    <w:rsid w:val="00C05864"/>
    <w:rsid w:val="00C06EF6"/>
    <w:rsid w:val="00C10131"/>
    <w:rsid w:val="00C1099A"/>
    <w:rsid w:val="00C35AC4"/>
    <w:rsid w:val="00C41BD0"/>
    <w:rsid w:val="00C42418"/>
    <w:rsid w:val="00C45B14"/>
    <w:rsid w:val="00C47490"/>
    <w:rsid w:val="00C7037F"/>
    <w:rsid w:val="00C703C0"/>
    <w:rsid w:val="00C7455A"/>
    <w:rsid w:val="00C80BC9"/>
    <w:rsid w:val="00C856F1"/>
    <w:rsid w:val="00C86B13"/>
    <w:rsid w:val="00C92DD2"/>
    <w:rsid w:val="00CA039C"/>
    <w:rsid w:val="00CB3A19"/>
    <w:rsid w:val="00CB5FDB"/>
    <w:rsid w:val="00CB6F73"/>
    <w:rsid w:val="00CD29CD"/>
    <w:rsid w:val="00CE339F"/>
    <w:rsid w:val="00CF0DDA"/>
    <w:rsid w:val="00D0625F"/>
    <w:rsid w:val="00D13653"/>
    <w:rsid w:val="00D146C9"/>
    <w:rsid w:val="00D31ADD"/>
    <w:rsid w:val="00D3368B"/>
    <w:rsid w:val="00D40199"/>
    <w:rsid w:val="00D41816"/>
    <w:rsid w:val="00D500E3"/>
    <w:rsid w:val="00D54559"/>
    <w:rsid w:val="00D60042"/>
    <w:rsid w:val="00D6399F"/>
    <w:rsid w:val="00D82F61"/>
    <w:rsid w:val="00D85FDB"/>
    <w:rsid w:val="00DA0712"/>
    <w:rsid w:val="00DB2F5D"/>
    <w:rsid w:val="00DB7DD6"/>
    <w:rsid w:val="00DC149C"/>
    <w:rsid w:val="00DC4670"/>
    <w:rsid w:val="00DC7CE7"/>
    <w:rsid w:val="00DD19BB"/>
    <w:rsid w:val="00DD228F"/>
    <w:rsid w:val="00DE0B8C"/>
    <w:rsid w:val="00DE67E5"/>
    <w:rsid w:val="00E02F27"/>
    <w:rsid w:val="00E0305D"/>
    <w:rsid w:val="00E17200"/>
    <w:rsid w:val="00E20AF5"/>
    <w:rsid w:val="00E240D7"/>
    <w:rsid w:val="00E353BA"/>
    <w:rsid w:val="00E4165F"/>
    <w:rsid w:val="00E42910"/>
    <w:rsid w:val="00E43B24"/>
    <w:rsid w:val="00E5180A"/>
    <w:rsid w:val="00E54F94"/>
    <w:rsid w:val="00E60D22"/>
    <w:rsid w:val="00E61CF4"/>
    <w:rsid w:val="00E66618"/>
    <w:rsid w:val="00E6733A"/>
    <w:rsid w:val="00E7022D"/>
    <w:rsid w:val="00E70E8C"/>
    <w:rsid w:val="00E735B2"/>
    <w:rsid w:val="00E7549C"/>
    <w:rsid w:val="00E862B9"/>
    <w:rsid w:val="00E8758F"/>
    <w:rsid w:val="00EA0A28"/>
    <w:rsid w:val="00EA19C4"/>
    <w:rsid w:val="00EA30CF"/>
    <w:rsid w:val="00EB3E8C"/>
    <w:rsid w:val="00EB6E9F"/>
    <w:rsid w:val="00EC1877"/>
    <w:rsid w:val="00EC5F05"/>
    <w:rsid w:val="00ED4F65"/>
    <w:rsid w:val="00ED4F69"/>
    <w:rsid w:val="00EF419B"/>
    <w:rsid w:val="00F06ABD"/>
    <w:rsid w:val="00F11090"/>
    <w:rsid w:val="00F27A8D"/>
    <w:rsid w:val="00F31FD3"/>
    <w:rsid w:val="00F3291F"/>
    <w:rsid w:val="00F33A0C"/>
    <w:rsid w:val="00F44252"/>
    <w:rsid w:val="00F46FA9"/>
    <w:rsid w:val="00F516EB"/>
    <w:rsid w:val="00F5337A"/>
    <w:rsid w:val="00F536AB"/>
    <w:rsid w:val="00F576C0"/>
    <w:rsid w:val="00F65225"/>
    <w:rsid w:val="00F724BA"/>
    <w:rsid w:val="00F73CEB"/>
    <w:rsid w:val="00F83672"/>
    <w:rsid w:val="00F872B8"/>
    <w:rsid w:val="00F964C3"/>
    <w:rsid w:val="00FA2005"/>
    <w:rsid w:val="00FA7FEE"/>
    <w:rsid w:val="00FB474E"/>
    <w:rsid w:val="00FC3C92"/>
    <w:rsid w:val="00FC4F72"/>
    <w:rsid w:val="00FC5B16"/>
    <w:rsid w:val="00FD2E3E"/>
    <w:rsid w:val="00FF0788"/>
    <w:rsid w:val="00FF7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3E8F2"/>
  <w15:docId w15:val="{2B3D821E-82CA-437E-81D5-344931A35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Math" w:eastAsia="Times New Roman" w:hAnsi="Cambria Math"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hAnsi="Times New Roman"/>
      <w:sz w:val="20"/>
      <w:szCs w:val="20"/>
    </w:rPr>
  </w:style>
  <w:style w:type="paragraph" w:styleId="Heading1">
    <w:name w:val="heading 1"/>
    <w:basedOn w:val="Normal"/>
    <w:next w:val="Normal"/>
    <w:link w:val="Heading1Char"/>
    <w:uiPriority w:val="9"/>
    <w:qFormat/>
    <w:rsid w:val="00C1099A"/>
    <w:pPr>
      <w:keepNext/>
      <w:spacing w:before="120" w:after="120"/>
      <w:outlineLvl w:val="0"/>
    </w:pPr>
    <w:rPr>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919"/>
    <w:pPr>
      <w:ind w:left="720"/>
      <w:contextualSpacing/>
    </w:pPr>
  </w:style>
  <w:style w:type="character" w:styleId="Hyperlink">
    <w:name w:val="Hyperlink"/>
    <w:basedOn w:val="DefaultParagraphFont"/>
    <w:uiPriority w:val="99"/>
    <w:unhideWhenUsed/>
    <w:rsid w:val="00AE5919"/>
    <w:rPr>
      <w:color w:val="0000FF" w:themeColor="hyperlink"/>
      <w:u w:val="single"/>
    </w:rPr>
  </w:style>
  <w:style w:type="paragraph" w:styleId="BodyText">
    <w:name w:val="Body Text"/>
    <w:basedOn w:val="Normal"/>
    <w:link w:val="BodyTextChar"/>
    <w:uiPriority w:val="99"/>
    <w:unhideWhenUsed/>
    <w:rsid w:val="00C1099A"/>
    <w:pPr>
      <w:spacing w:before="120" w:after="120"/>
    </w:pPr>
    <w:rPr>
      <w:b/>
      <w:i/>
      <w:sz w:val="28"/>
      <w:szCs w:val="28"/>
    </w:rPr>
  </w:style>
  <w:style w:type="character" w:customStyle="1" w:styleId="BodyTextChar">
    <w:name w:val="Body Text Char"/>
    <w:basedOn w:val="DefaultParagraphFont"/>
    <w:link w:val="BodyText"/>
    <w:uiPriority w:val="99"/>
    <w:rsid w:val="00C1099A"/>
    <w:rPr>
      <w:rFonts w:ascii="Times New Roman" w:hAnsi="Times New Roman"/>
      <w:b/>
      <w:i/>
      <w:sz w:val="28"/>
      <w:szCs w:val="28"/>
    </w:rPr>
  </w:style>
  <w:style w:type="character" w:customStyle="1" w:styleId="Heading1Char">
    <w:name w:val="Heading 1 Char"/>
    <w:basedOn w:val="DefaultParagraphFont"/>
    <w:link w:val="Heading1"/>
    <w:uiPriority w:val="9"/>
    <w:rsid w:val="00C1099A"/>
    <w:rPr>
      <w:rFonts w:ascii="Times New Roman" w:hAnsi="Times New Roman"/>
      <w:b/>
      <w:i/>
    </w:rPr>
  </w:style>
  <w:style w:type="paragraph" w:styleId="BodyText2">
    <w:name w:val="Body Text 2"/>
    <w:basedOn w:val="Normal"/>
    <w:link w:val="BodyText2Char"/>
    <w:uiPriority w:val="99"/>
    <w:unhideWhenUsed/>
    <w:rsid w:val="00EC1877"/>
    <w:pPr>
      <w:spacing w:before="120" w:after="120"/>
    </w:pPr>
    <w:rPr>
      <w:b/>
      <w:i/>
      <w:sz w:val="24"/>
      <w:szCs w:val="24"/>
    </w:rPr>
  </w:style>
  <w:style w:type="character" w:customStyle="1" w:styleId="BodyText2Char">
    <w:name w:val="Body Text 2 Char"/>
    <w:basedOn w:val="DefaultParagraphFont"/>
    <w:link w:val="BodyText2"/>
    <w:uiPriority w:val="99"/>
    <w:rsid w:val="00EC1877"/>
    <w:rPr>
      <w:rFonts w:ascii="Times New Roman" w:hAnsi="Times New Roman"/>
      <w:b/>
      <w:i/>
    </w:rPr>
  </w:style>
  <w:style w:type="paragraph" w:styleId="BodyText3">
    <w:name w:val="Body Text 3"/>
    <w:basedOn w:val="Normal"/>
    <w:link w:val="BodyText3Char"/>
    <w:uiPriority w:val="99"/>
    <w:unhideWhenUsed/>
    <w:rsid w:val="00FF754C"/>
    <w:pPr>
      <w:spacing w:before="120" w:after="120"/>
      <w:jc w:val="both"/>
    </w:pPr>
    <w:rPr>
      <w:i/>
      <w:sz w:val="24"/>
      <w:szCs w:val="24"/>
    </w:rPr>
  </w:style>
  <w:style w:type="character" w:customStyle="1" w:styleId="BodyText3Char">
    <w:name w:val="Body Text 3 Char"/>
    <w:basedOn w:val="DefaultParagraphFont"/>
    <w:link w:val="BodyText3"/>
    <w:uiPriority w:val="99"/>
    <w:rsid w:val="00FF754C"/>
    <w:rPr>
      <w:rFonts w:ascii="Times New Roman" w:hAnsi="Times New Roman"/>
      <w:i/>
    </w:rPr>
  </w:style>
  <w:style w:type="character" w:styleId="PlaceholderText">
    <w:name w:val="Placeholder Text"/>
    <w:basedOn w:val="DefaultParagraphFont"/>
    <w:uiPriority w:val="99"/>
    <w:semiHidden/>
    <w:rsid w:val="00115489"/>
    <w:rPr>
      <w:color w:val="808080"/>
    </w:rPr>
  </w:style>
  <w:style w:type="paragraph" w:styleId="BalloonText">
    <w:name w:val="Balloon Text"/>
    <w:basedOn w:val="Normal"/>
    <w:link w:val="BalloonTextChar"/>
    <w:uiPriority w:val="99"/>
    <w:semiHidden/>
    <w:unhideWhenUsed/>
    <w:rsid w:val="00FC4F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4F72"/>
    <w:rPr>
      <w:rFonts w:ascii="Tahoma" w:hAnsi="Tahoma" w:cs="Tahoma"/>
      <w:sz w:val="16"/>
      <w:szCs w:val="16"/>
    </w:rPr>
  </w:style>
  <w:style w:type="table" w:styleId="TableGrid">
    <w:name w:val="Table Grid"/>
    <w:basedOn w:val="TableNormal"/>
    <w:uiPriority w:val="59"/>
    <w:rsid w:val="00C92D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C92D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rsid w:val="00C92DD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Grid">
    <w:name w:val="Light Grid"/>
    <w:basedOn w:val="TableNormal"/>
    <w:uiPriority w:val="62"/>
    <w:rsid w:val="00C92DD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MediumShading1">
    <w:name w:val="Medium Shading 1"/>
    <w:basedOn w:val="TableNormal"/>
    <w:uiPriority w:val="63"/>
    <w:rsid w:val="00C92DD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92DD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92DD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2">
    <w:name w:val="Medium List 2"/>
    <w:basedOn w:val="TableNormal"/>
    <w:uiPriority w:val="66"/>
    <w:rsid w:val="00C92DD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Shading">
    <w:name w:val="Colorful Shading"/>
    <w:basedOn w:val="TableNormal"/>
    <w:uiPriority w:val="71"/>
    <w:rsid w:val="00C92DD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ediumGrid3">
    <w:name w:val="Medium Grid 3"/>
    <w:basedOn w:val="TableNormal"/>
    <w:uiPriority w:val="69"/>
    <w:rsid w:val="00193CE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Header">
    <w:name w:val="header"/>
    <w:basedOn w:val="Normal"/>
    <w:link w:val="HeaderChar"/>
    <w:uiPriority w:val="99"/>
    <w:unhideWhenUsed/>
    <w:rsid w:val="00CE33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339F"/>
    <w:rPr>
      <w:rFonts w:ascii="Times New Roman" w:hAnsi="Times New Roman"/>
      <w:sz w:val="20"/>
      <w:szCs w:val="20"/>
    </w:rPr>
  </w:style>
  <w:style w:type="paragraph" w:styleId="Footer">
    <w:name w:val="footer"/>
    <w:basedOn w:val="Normal"/>
    <w:link w:val="FooterChar"/>
    <w:uiPriority w:val="99"/>
    <w:unhideWhenUsed/>
    <w:rsid w:val="00CE33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339F"/>
    <w:rPr>
      <w:rFonts w:ascii="Times New Roman" w:hAnsi="Times New Roman"/>
      <w:sz w:val="20"/>
      <w:szCs w:val="20"/>
    </w:rPr>
  </w:style>
  <w:style w:type="paragraph" w:customStyle="1" w:styleId="MDPI11articletype">
    <w:name w:val="MDPI_1.1_article_type"/>
    <w:basedOn w:val="Normal"/>
    <w:next w:val="Normal"/>
    <w:qFormat/>
    <w:rsid w:val="00BF4D81"/>
    <w:pPr>
      <w:adjustRightInd w:val="0"/>
      <w:snapToGrid w:val="0"/>
      <w:spacing w:before="240" w:after="0" w:line="240" w:lineRule="auto"/>
    </w:pPr>
    <w:rPr>
      <w:rFonts w:ascii="Palatino Linotype" w:hAnsi="Palatino Linotype"/>
      <w:i/>
      <w:snapToGrid w:val="0"/>
      <w:color w:val="000000"/>
      <w:szCs w:val="22"/>
      <w:lang w:eastAsia="de-DE" w:bidi="en-US"/>
    </w:rPr>
  </w:style>
  <w:style w:type="paragraph" w:customStyle="1" w:styleId="MDPI13authornames">
    <w:name w:val="MDPI_1.3_authornames"/>
    <w:basedOn w:val="Normal"/>
    <w:next w:val="MDPI14history"/>
    <w:qFormat/>
    <w:rsid w:val="00BF4D81"/>
    <w:pPr>
      <w:adjustRightInd w:val="0"/>
      <w:snapToGrid w:val="0"/>
      <w:spacing w:after="120" w:line="260" w:lineRule="atLeast"/>
    </w:pPr>
    <w:rPr>
      <w:rFonts w:ascii="Palatino Linotype" w:hAnsi="Palatino Linotype"/>
      <w:b/>
      <w:color w:val="000000"/>
      <w:szCs w:val="22"/>
      <w:lang w:eastAsia="de-DE" w:bidi="en-US"/>
    </w:rPr>
  </w:style>
  <w:style w:type="paragraph" w:customStyle="1" w:styleId="MDPI14history">
    <w:name w:val="MDPI_1.4_history"/>
    <w:basedOn w:val="Normal"/>
    <w:next w:val="Normal"/>
    <w:qFormat/>
    <w:rsid w:val="00BF4D81"/>
    <w:pPr>
      <w:adjustRightInd w:val="0"/>
      <w:snapToGrid w:val="0"/>
      <w:spacing w:before="120" w:after="0" w:line="200" w:lineRule="atLeast"/>
      <w:ind w:left="113"/>
    </w:pPr>
    <w:rPr>
      <w:rFonts w:ascii="Palatino Linotype" w:hAnsi="Palatino Linotype"/>
      <w:color w:val="000000"/>
      <w:sz w:val="18"/>
      <w:lang w:eastAsia="de-DE" w:bidi="en-US"/>
    </w:rPr>
  </w:style>
  <w:style w:type="paragraph" w:customStyle="1" w:styleId="MDPI16affiliation">
    <w:name w:val="MDPI_1.6_affiliation"/>
    <w:basedOn w:val="Normal"/>
    <w:qFormat/>
    <w:rsid w:val="00BF4D81"/>
    <w:pPr>
      <w:adjustRightInd w:val="0"/>
      <w:snapToGrid w:val="0"/>
      <w:spacing w:after="0" w:line="200" w:lineRule="atLeast"/>
      <w:ind w:left="311" w:hanging="198"/>
    </w:pPr>
    <w:rPr>
      <w:rFonts w:ascii="Palatino Linotype" w:hAnsi="Palatino Linotype"/>
      <w:color w:val="000000"/>
      <w:sz w:val="18"/>
      <w:szCs w:val="18"/>
      <w:lang w:eastAsia="de-DE" w:bidi="en-US"/>
    </w:rPr>
  </w:style>
  <w:style w:type="paragraph" w:customStyle="1" w:styleId="MDPI17abstract">
    <w:name w:val="MDPI_1.7_abstract"/>
    <w:basedOn w:val="Normal"/>
    <w:next w:val="MDPI18keywords"/>
    <w:qFormat/>
    <w:rsid w:val="00BF4D81"/>
    <w:pPr>
      <w:adjustRightInd w:val="0"/>
      <w:snapToGrid w:val="0"/>
      <w:spacing w:before="240" w:after="0" w:line="260" w:lineRule="atLeast"/>
      <w:ind w:left="113"/>
      <w:jc w:val="both"/>
    </w:pPr>
    <w:rPr>
      <w:rFonts w:ascii="Palatino Linotype" w:hAnsi="Palatino Linotype"/>
      <w:color w:val="000000"/>
      <w:szCs w:val="22"/>
      <w:lang w:eastAsia="de-DE" w:bidi="en-US"/>
    </w:rPr>
  </w:style>
  <w:style w:type="paragraph" w:customStyle="1" w:styleId="MDPI18keywords">
    <w:name w:val="MDPI_1.8_keywords"/>
    <w:basedOn w:val="Normal"/>
    <w:next w:val="Normal"/>
    <w:qFormat/>
    <w:rsid w:val="00BF4D81"/>
    <w:pPr>
      <w:adjustRightInd w:val="0"/>
      <w:snapToGrid w:val="0"/>
      <w:spacing w:before="240" w:after="0" w:line="260" w:lineRule="atLeast"/>
      <w:ind w:left="113"/>
      <w:jc w:val="both"/>
    </w:pPr>
    <w:rPr>
      <w:rFonts w:ascii="Palatino Linotype" w:hAnsi="Palatino Linotype"/>
      <w:snapToGrid w:val="0"/>
      <w:color w:val="000000"/>
      <w:szCs w:val="22"/>
      <w:lang w:eastAsia="de-DE" w:bidi="en-US"/>
    </w:rPr>
  </w:style>
  <w:style w:type="paragraph" w:customStyle="1" w:styleId="MDPI19line">
    <w:name w:val="MDPI_1.9_line"/>
    <w:basedOn w:val="Normal"/>
    <w:qFormat/>
    <w:rsid w:val="00BF4D81"/>
    <w:pPr>
      <w:pBdr>
        <w:bottom w:val="single" w:sz="6" w:space="1" w:color="auto"/>
      </w:pBdr>
      <w:adjustRightInd w:val="0"/>
      <w:snapToGrid w:val="0"/>
      <w:spacing w:after="0" w:line="260" w:lineRule="atLeast"/>
      <w:jc w:val="both"/>
    </w:pPr>
    <w:rPr>
      <w:rFonts w:ascii="Palatino Linotype" w:hAnsi="Palatino Linotype"/>
      <w:color w:val="000000"/>
      <w:szCs w:val="24"/>
      <w:lang w:eastAsia="de-DE" w:bidi="en-US"/>
    </w:rPr>
  </w:style>
  <w:style w:type="character" w:styleId="LineNumber">
    <w:name w:val="line number"/>
    <w:basedOn w:val="DefaultParagraphFont"/>
    <w:uiPriority w:val="99"/>
    <w:semiHidden/>
    <w:unhideWhenUsed/>
    <w:rsid w:val="00E43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Sheet1!$A$22</c:f>
              <c:strCache>
                <c:ptCount val="1"/>
                <c:pt idx="0">
                  <c:v>1-100 frames</c:v>
                </c:pt>
              </c:strCache>
            </c:strRef>
          </c:tx>
          <c:spPr>
            <a:solidFill>
              <a:schemeClr val="tx1">
                <a:lumMod val="50000"/>
                <a:lumOff val="50000"/>
              </a:schemeClr>
            </a:solidFill>
          </c:spPr>
          <c:invertIfNegative val="0"/>
          <c:dPt>
            <c:idx val="1"/>
            <c:invertIfNegative val="0"/>
            <c:bubble3D val="0"/>
            <c:spPr>
              <a:solidFill>
                <a:schemeClr val="accent2">
                  <a:lumMod val="40000"/>
                  <a:lumOff val="60000"/>
                </a:schemeClr>
              </a:solidFill>
            </c:spPr>
            <c:extLst>
              <c:ext xmlns:c16="http://schemas.microsoft.com/office/drawing/2014/chart" uri="{C3380CC4-5D6E-409C-BE32-E72D297353CC}">
                <c16:uniqueId val="{00000001-8E21-4611-A102-67D8A0A627FC}"/>
              </c:ext>
            </c:extLst>
          </c:dPt>
          <c:dPt>
            <c:idx val="2"/>
            <c:invertIfNegative val="0"/>
            <c:bubble3D val="0"/>
            <c:spPr>
              <a:solidFill>
                <a:schemeClr val="accent2">
                  <a:lumMod val="75000"/>
                </a:schemeClr>
              </a:solidFill>
            </c:spPr>
            <c:extLst>
              <c:ext xmlns:c16="http://schemas.microsoft.com/office/drawing/2014/chart" uri="{C3380CC4-5D6E-409C-BE32-E72D297353CC}">
                <c16:uniqueId val="{00000003-8E21-4611-A102-67D8A0A627FC}"/>
              </c:ext>
            </c:extLst>
          </c:dPt>
          <c:dPt>
            <c:idx val="3"/>
            <c:invertIfNegative val="0"/>
            <c:bubble3D val="0"/>
            <c:spPr>
              <a:solidFill>
                <a:schemeClr val="accent3">
                  <a:lumMod val="40000"/>
                  <a:lumOff val="60000"/>
                </a:schemeClr>
              </a:solidFill>
            </c:spPr>
            <c:extLst>
              <c:ext xmlns:c16="http://schemas.microsoft.com/office/drawing/2014/chart" uri="{C3380CC4-5D6E-409C-BE32-E72D297353CC}">
                <c16:uniqueId val="{00000005-8E21-4611-A102-67D8A0A627FC}"/>
              </c:ext>
            </c:extLst>
          </c:dPt>
          <c:dPt>
            <c:idx val="4"/>
            <c:invertIfNegative val="0"/>
            <c:bubble3D val="0"/>
            <c:spPr>
              <a:solidFill>
                <a:schemeClr val="accent3">
                  <a:lumMod val="75000"/>
                </a:schemeClr>
              </a:solidFill>
            </c:spPr>
            <c:extLst>
              <c:ext xmlns:c16="http://schemas.microsoft.com/office/drawing/2014/chart" uri="{C3380CC4-5D6E-409C-BE32-E72D297353CC}">
                <c16:uniqueId val="{00000007-8E21-4611-A102-67D8A0A627FC}"/>
              </c:ext>
            </c:extLst>
          </c:dPt>
          <c:cat>
            <c:strRef>
              <c:f>Sheet1!$B$1:$F$1</c:f>
              <c:strCache>
                <c:ptCount val="5"/>
                <c:pt idx="0">
                  <c:v>12Ab</c:v>
                </c:pt>
                <c:pt idx="1">
                  <c:v>+12CU</c:v>
                </c:pt>
                <c:pt idx="2">
                  <c:v>+36CU</c:v>
                </c:pt>
                <c:pt idx="3">
                  <c:v>+12FA</c:v>
                </c:pt>
                <c:pt idx="4">
                  <c:v>+36FA</c:v>
                </c:pt>
              </c:strCache>
            </c:strRef>
          </c:cat>
          <c:val>
            <c:numRef>
              <c:f>Sheet1!$B$25:$F$25</c:f>
              <c:numCache>
                <c:formatCode>General</c:formatCode>
                <c:ptCount val="5"/>
                <c:pt idx="0">
                  <c:v>0.63333333333333319</c:v>
                </c:pt>
                <c:pt idx="1">
                  <c:v>0.61781746031746032</c:v>
                </c:pt>
                <c:pt idx="2">
                  <c:v>0.61472222222222228</c:v>
                </c:pt>
                <c:pt idx="3">
                  <c:v>0.60621031746031739</c:v>
                </c:pt>
                <c:pt idx="4">
                  <c:v>0.59523809523809512</c:v>
                </c:pt>
              </c:numCache>
            </c:numRef>
          </c:val>
          <c:extLst>
            <c:ext xmlns:c16="http://schemas.microsoft.com/office/drawing/2014/chart" uri="{C3380CC4-5D6E-409C-BE32-E72D297353CC}">
              <c16:uniqueId val="{00000008-8E21-4611-A102-67D8A0A627FC}"/>
            </c:ext>
          </c:extLst>
        </c:ser>
        <c:ser>
          <c:idx val="1"/>
          <c:order val="1"/>
          <c:tx>
            <c:strRef>
              <c:f>Sheet1!$A$28</c:f>
              <c:strCache>
                <c:ptCount val="1"/>
                <c:pt idx="0">
                  <c:v>901-1000 frames</c:v>
                </c:pt>
              </c:strCache>
            </c:strRef>
          </c:tx>
          <c:spPr>
            <a:solidFill>
              <a:schemeClr val="bg1">
                <a:lumMod val="75000"/>
              </a:schemeClr>
            </a:solidFill>
          </c:spPr>
          <c:invertIfNegative val="0"/>
          <c:dPt>
            <c:idx val="1"/>
            <c:invertIfNegative val="0"/>
            <c:bubble3D val="0"/>
            <c:spPr>
              <a:solidFill>
                <a:schemeClr val="accent2">
                  <a:lumMod val="60000"/>
                  <a:lumOff val="40000"/>
                </a:schemeClr>
              </a:solidFill>
            </c:spPr>
            <c:extLst>
              <c:ext xmlns:c16="http://schemas.microsoft.com/office/drawing/2014/chart" uri="{C3380CC4-5D6E-409C-BE32-E72D297353CC}">
                <c16:uniqueId val="{0000000A-8E21-4611-A102-67D8A0A627FC}"/>
              </c:ext>
            </c:extLst>
          </c:dPt>
          <c:dPt>
            <c:idx val="2"/>
            <c:invertIfNegative val="0"/>
            <c:bubble3D val="0"/>
            <c:spPr>
              <a:solidFill>
                <a:schemeClr val="accent2">
                  <a:lumMod val="50000"/>
                </a:schemeClr>
              </a:solidFill>
            </c:spPr>
            <c:extLst>
              <c:ext xmlns:c16="http://schemas.microsoft.com/office/drawing/2014/chart" uri="{C3380CC4-5D6E-409C-BE32-E72D297353CC}">
                <c16:uniqueId val="{0000000C-8E21-4611-A102-67D8A0A627FC}"/>
              </c:ext>
            </c:extLst>
          </c:dPt>
          <c:dPt>
            <c:idx val="3"/>
            <c:invertIfNegative val="0"/>
            <c:bubble3D val="0"/>
            <c:spPr>
              <a:solidFill>
                <a:schemeClr val="accent3">
                  <a:lumMod val="60000"/>
                  <a:lumOff val="40000"/>
                </a:schemeClr>
              </a:solidFill>
            </c:spPr>
            <c:extLst>
              <c:ext xmlns:c16="http://schemas.microsoft.com/office/drawing/2014/chart" uri="{C3380CC4-5D6E-409C-BE32-E72D297353CC}">
                <c16:uniqueId val="{0000000E-8E21-4611-A102-67D8A0A627FC}"/>
              </c:ext>
            </c:extLst>
          </c:dPt>
          <c:dPt>
            <c:idx val="4"/>
            <c:invertIfNegative val="0"/>
            <c:bubble3D val="0"/>
            <c:spPr>
              <a:solidFill>
                <a:schemeClr val="accent3">
                  <a:lumMod val="50000"/>
                </a:schemeClr>
              </a:solidFill>
            </c:spPr>
            <c:extLst>
              <c:ext xmlns:c16="http://schemas.microsoft.com/office/drawing/2014/chart" uri="{C3380CC4-5D6E-409C-BE32-E72D297353CC}">
                <c16:uniqueId val="{00000010-8E21-4611-A102-67D8A0A627FC}"/>
              </c:ext>
            </c:extLst>
          </c:dPt>
          <c:cat>
            <c:strRef>
              <c:f>Sheet1!$B$1:$F$1</c:f>
              <c:strCache>
                <c:ptCount val="5"/>
                <c:pt idx="0">
                  <c:v>12Ab</c:v>
                </c:pt>
                <c:pt idx="1">
                  <c:v>+12CU</c:v>
                </c:pt>
                <c:pt idx="2">
                  <c:v>+36CU</c:v>
                </c:pt>
                <c:pt idx="3">
                  <c:v>+12FA</c:v>
                </c:pt>
                <c:pt idx="4">
                  <c:v>+36FA</c:v>
                </c:pt>
              </c:strCache>
            </c:strRef>
          </c:cat>
          <c:val>
            <c:numRef>
              <c:f>Sheet1!$B$31:$F$31</c:f>
              <c:numCache>
                <c:formatCode>General</c:formatCode>
                <c:ptCount val="5"/>
                <c:pt idx="0">
                  <c:v>0.58275793650793672</c:v>
                </c:pt>
                <c:pt idx="1">
                  <c:v>0.55392857142857133</c:v>
                </c:pt>
                <c:pt idx="2">
                  <c:v>0.55853174603174627</c:v>
                </c:pt>
                <c:pt idx="3">
                  <c:v>0.50470238095238074</c:v>
                </c:pt>
                <c:pt idx="4">
                  <c:v>0.53894841269841265</c:v>
                </c:pt>
              </c:numCache>
            </c:numRef>
          </c:val>
          <c:extLst>
            <c:ext xmlns:c16="http://schemas.microsoft.com/office/drawing/2014/chart" uri="{C3380CC4-5D6E-409C-BE32-E72D297353CC}">
              <c16:uniqueId val="{00000011-8E21-4611-A102-67D8A0A627FC}"/>
            </c:ext>
          </c:extLst>
        </c:ser>
        <c:dLbls>
          <c:showLegendKey val="0"/>
          <c:showVal val="0"/>
          <c:showCatName val="0"/>
          <c:showSerName val="0"/>
          <c:showPercent val="0"/>
          <c:showBubbleSize val="0"/>
        </c:dLbls>
        <c:gapWidth val="150"/>
        <c:axId val="245310592"/>
        <c:axId val="245312128"/>
      </c:barChart>
      <c:catAx>
        <c:axId val="245310592"/>
        <c:scaling>
          <c:orientation val="minMax"/>
        </c:scaling>
        <c:delete val="0"/>
        <c:axPos val="b"/>
        <c:numFmt formatCode="General" sourceLinked="0"/>
        <c:majorTickMark val="out"/>
        <c:minorTickMark val="none"/>
        <c:tickLblPos val="nextTo"/>
        <c:crossAx val="245312128"/>
        <c:crosses val="autoZero"/>
        <c:auto val="1"/>
        <c:lblAlgn val="ctr"/>
        <c:lblOffset val="100"/>
        <c:noMultiLvlLbl val="0"/>
      </c:catAx>
      <c:valAx>
        <c:axId val="245312128"/>
        <c:scaling>
          <c:orientation val="minMax"/>
        </c:scaling>
        <c:delete val="0"/>
        <c:axPos val="l"/>
        <c:majorGridlines/>
        <c:title>
          <c:tx>
            <c:rich>
              <a:bodyPr rot="-5400000" vert="horz"/>
              <a:lstStyle/>
              <a:p>
                <a:pPr>
                  <a:defRPr/>
                </a:pPr>
                <a:r>
                  <a:rPr lang="en-US" b="0"/>
                  <a:t>helix propensity</a:t>
                </a:r>
              </a:p>
            </c:rich>
          </c:tx>
          <c:overlay val="0"/>
        </c:title>
        <c:numFmt formatCode="General" sourceLinked="1"/>
        <c:majorTickMark val="out"/>
        <c:minorTickMark val="none"/>
        <c:tickLblPos val="nextTo"/>
        <c:crossAx val="245310592"/>
        <c:crosses val="autoZero"/>
        <c:crossBetween val="between"/>
        <c:majorUnit val="0.2"/>
      </c:valAx>
      <c:spPr>
        <a:ln>
          <a:solidFill>
            <a:schemeClr val="tx1">
              <a:lumMod val="50000"/>
              <a:lumOff val="50000"/>
            </a:schemeClr>
          </a:solidFill>
        </a:ln>
      </c:spPr>
    </c:plotArea>
    <c:legend>
      <c:legendPos val="b"/>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Sheet1!$A$22</c:f>
              <c:strCache>
                <c:ptCount val="1"/>
                <c:pt idx="0">
                  <c:v>1-100 frames</c:v>
                </c:pt>
              </c:strCache>
            </c:strRef>
          </c:tx>
          <c:spPr>
            <a:solidFill>
              <a:schemeClr val="tx1">
                <a:lumMod val="50000"/>
                <a:lumOff val="50000"/>
              </a:schemeClr>
            </a:solidFill>
          </c:spPr>
          <c:invertIfNegative val="0"/>
          <c:dPt>
            <c:idx val="1"/>
            <c:invertIfNegative val="0"/>
            <c:bubble3D val="0"/>
            <c:spPr>
              <a:solidFill>
                <a:schemeClr val="accent2">
                  <a:lumMod val="40000"/>
                  <a:lumOff val="60000"/>
                </a:schemeClr>
              </a:solidFill>
            </c:spPr>
            <c:extLst>
              <c:ext xmlns:c16="http://schemas.microsoft.com/office/drawing/2014/chart" uri="{C3380CC4-5D6E-409C-BE32-E72D297353CC}">
                <c16:uniqueId val="{00000001-6F30-40B7-A14C-493C9F77BC24}"/>
              </c:ext>
            </c:extLst>
          </c:dPt>
          <c:dPt>
            <c:idx val="2"/>
            <c:invertIfNegative val="0"/>
            <c:bubble3D val="0"/>
            <c:spPr>
              <a:solidFill>
                <a:schemeClr val="accent2">
                  <a:lumMod val="75000"/>
                </a:schemeClr>
              </a:solidFill>
            </c:spPr>
            <c:extLst>
              <c:ext xmlns:c16="http://schemas.microsoft.com/office/drawing/2014/chart" uri="{C3380CC4-5D6E-409C-BE32-E72D297353CC}">
                <c16:uniqueId val="{00000003-6F30-40B7-A14C-493C9F77BC24}"/>
              </c:ext>
            </c:extLst>
          </c:dPt>
          <c:dPt>
            <c:idx val="3"/>
            <c:invertIfNegative val="0"/>
            <c:bubble3D val="0"/>
            <c:spPr>
              <a:solidFill>
                <a:schemeClr val="accent3">
                  <a:lumMod val="40000"/>
                  <a:lumOff val="60000"/>
                </a:schemeClr>
              </a:solidFill>
            </c:spPr>
            <c:extLst>
              <c:ext xmlns:c16="http://schemas.microsoft.com/office/drawing/2014/chart" uri="{C3380CC4-5D6E-409C-BE32-E72D297353CC}">
                <c16:uniqueId val="{00000005-6F30-40B7-A14C-493C9F77BC24}"/>
              </c:ext>
            </c:extLst>
          </c:dPt>
          <c:dPt>
            <c:idx val="4"/>
            <c:invertIfNegative val="0"/>
            <c:bubble3D val="0"/>
            <c:spPr>
              <a:solidFill>
                <a:schemeClr val="accent3">
                  <a:lumMod val="75000"/>
                </a:schemeClr>
              </a:solidFill>
            </c:spPr>
            <c:extLst>
              <c:ext xmlns:c16="http://schemas.microsoft.com/office/drawing/2014/chart" uri="{C3380CC4-5D6E-409C-BE32-E72D297353CC}">
                <c16:uniqueId val="{00000007-6F30-40B7-A14C-493C9F77BC24}"/>
              </c:ext>
            </c:extLst>
          </c:dPt>
          <c:cat>
            <c:strRef>
              <c:f>Sheet1!$B$1:$F$1</c:f>
              <c:strCache>
                <c:ptCount val="5"/>
                <c:pt idx="0">
                  <c:v>12Ab</c:v>
                </c:pt>
                <c:pt idx="1">
                  <c:v>+12CU</c:v>
                </c:pt>
                <c:pt idx="2">
                  <c:v>+36CU</c:v>
                </c:pt>
                <c:pt idx="3">
                  <c:v>+12FA</c:v>
                </c:pt>
                <c:pt idx="4">
                  <c:v>+36FA</c:v>
                </c:pt>
              </c:strCache>
            </c:strRef>
          </c:cat>
          <c:val>
            <c:numRef>
              <c:f>Sheet1!$B$26:$F$26</c:f>
              <c:numCache>
                <c:formatCode>General</c:formatCode>
                <c:ptCount val="5"/>
                <c:pt idx="0">
                  <c:v>0.1842460317460318</c:v>
                </c:pt>
                <c:pt idx="1">
                  <c:v>0.1842261904761904</c:v>
                </c:pt>
                <c:pt idx="2">
                  <c:v>0.19107142857142873</c:v>
                </c:pt>
                <c:pt idx="3">
                  <c:v>0.18974206349206343</c:v>
                </c:pt>
                <c:pt idx="4">
                  <c:v>0.17878968253968266</c:v>
                </c:pt>
              </c:numCache>
            </c:numRef>
          </c:val>
          <c:extLst>
            <c:ext xmlns:c16="http://schemas.microsoft.com/office/drawing/2014/chart" uri="{C3380CC4-5D6E-409C-BE32-E72D297353CC}">
              <c16:uniqueId val="{00000008-6F30-40B7-A14C-493C9F77BC24}"/>
            </c:ext>
          </c:extLst>
        </c:ser>
        <c:ser>
          <c:idx val="1"/>
          <c:order val="1"/>
          <c:tx>
            <c:strRef>
              <c:f>Sheet1!$A$28</c:f>
              <c:strCache>
                <c:ptCount val="1"/>
                <c:pt idx="0">
                  <c:v>901-1000 frames</c:v>
                </c:pt>
              </c:strCache>
            </c:strRef>
          </c:tx>
          <c:spPr>
            <a:solidFill>
              <a:schemeClr val="bg1">
                <a:lumMod val="75000"/>
              </a:schemeClr>
            </a:solidFill>
          </c:spPr>
          <c:invertIfNegative val="0"/>
          <c:dPt>
            <c:idx val="1"/>
            <c:invertIfNegative val="0"/>
            <c:bubble3D val="0"/>
            <c:spPr>
              <a:solidFill>
                <a:schemeClr val="accent2">
                  <a:lumMod val="60000"/>
                  <a:lumOff val="40000"/>
                </a:schemeClr>
              </a:solidFill>
            </c:spPr>
            <c:extLst>
              <c:ext xmlns:c16="http://schemas.microsoft.com/office/drawing/2014/chart" uri="{C3380CC4-5D6E-409C-BE32-E72D297353CC}">
                <c16:uniqueId val="{0000000A-6F30-40B7-A14C-493C9F77BC24}"/>
              </c:ext>
            </c:extLst>
          </c:dPt>
          <c:dPt>
            <c:idx val="2"/>
            <c:invertIfNegative val="0"/>
            <c:bubble3D val="0"/>
            <c:spPr>
              <a:solidFill>
                <a:schemeClr val="accent2">
                  <a:lumMod val="50000"/>
                </a:schemeClr>
              </a:solidFill>
            </c:spPr>
            <c:extLst>
              <c:ext xmlns:c16="http://schemas.microsoft.com/office/drawing/2014/chart" uri="{C3380CC4-5D6E-409C-BE32-E72D297353CC}">
                <c16:uniqueId val="{0000000C-6F30-40B7-A14C-493C9F77BC24}"/>
              </c:ext>
            </c:extLst>
          </c:dPt>
          <c:dPt>
            <c:idx val="3"/>
            <c:invertIfNegative val="0"/>
            <c:bubble3D val="0"/>
            <c:spPr>
              <a:solidFill>
                <a:schemeClr val="accent3">
                  <a:lumMod val="60000"/>
                  <a:lumOff val="40000"/>
                </a:schemeClr>
              </a:solidFill>
            </c:spPr>
            <c:extLst>
              <c:ext xmlns:c16="http://schemas.microsoft.com/office/drawing/2014/chart" uri="{C3380CC4-5D6E-409C-BE32-E72D297353CC}">
                <c16:uniqueId val="{0000000E-6F30-40B7-A14C-493C9F77BC24}"/>
              </c:ext>
            </c:extLst>
          </c:dPt>
          <c:dPt>
            <c:idx val="4"/>
            <c:invertIfNegative val="0"/>
            <c:bubble3D val="0"/>
            <c:spPr>
              <a:solidFill>
                <a:schemeClr val="accent3">
                  <a:lumMod val="50000"/>
                </a:schemeClr>
              </a:solidFill>
            </c:spPr>
            <c:extLst>
              <c:ext xmlns:c16="http://schemas.microsoft.com/office/drawing/2014/chart" uri="{C3380CC4-5D6E-409C-BE32-E72D297353CC}">
                <c16:uniqueId val="{00000010-6F30-40B7-A14C-493C9F77BC24}"/>
              </c:ext>
            </c:extLst>
          </c:dPt>
          <c:cat>
            <c:strRef>
              <c:f>Sheet1!$B$1:$F$1</c:f>
              <c:strCache>
                <c:ptCount val="5"/>
                <c:pt idx="0">
                  <c:v>12Ab</c:v>
                </c:pt>
                <c:pt idx="1">
                  <c:v>+12CU</c:v>
                </c:pt>
                <c:pt idx="2">
                  <c:v>+36CU</c:v>
                </c:pt>
                <c:pt idx="3">
                  <c:v>+12FA</c:v>
                </c:pt>
                <c:pt idx="4">
                  <c:v>+36FA</c:v>
                </c:pt>
              </c:strCache>
            </c:strRef>
          </c:cat>
          <c:val>
            <c:numRef>
              <c:f>Sheet1!$B$32:$F$32</c:f>
              <c:numCache>
                <c:formatCode>General</c:formatCode>
                <c:ptCount val="5"/>
                <c:pt idx="0">
                  <c:v>0.17317460317460318</c:v>
                </c:pt>
                <c:pt idx="1">
                  <c:v>0.16242063492063499</c:v>
                </c:pt>
                <c:pt idx="2">
                  <c:v>0.1957738095238096</c:v>
                </c:pt>
                <c:pt idx="3">
                  <c:v>0.22559523809523821</c:v>
                </c:pt>
                <c:pt idx="4">
                  <c:v>0.15575396825396839</c:v>
                </c:pt>
              </c:numCache>
            </c:numRef>
          </c:val>
          <c:extLst>
            <c:ext xmlns:c16="http://schemas.microsoft.com/office/drawing/2014/chart" uri="{C3380CC4-5D6E-409C-BE32-E72D297353CC}">
              <c16:uniqueId val="{00000011-6F30-40B7-A14C-493C9F77BC24}"/>
            </c:ext>
          </c:extLst>
        </c:ser>
        <c:dLbls>
          <c:showLegendKey val="0"/>
          <c:showVal val="0"/>
          <c:showCatName val="0"/>
          <c:showSerName val="0"/>
          <c:showPercent val="0"/>
          <c:showBubbleSize val="0"/>
        </c:dLbls>
        <c:gapWidth val="150"/>
        <c:axId val="245385856"/>
        <c:axId val="245444992"/>
      </c:barChart>
      <c:catAx>
        <c:axId val="245385856"/>
        <c:scaling>
          <c:orientation val="minMax"/>
        </c:scaling>
        <c:delete val="0"/>
        <c:axPos val="b"/>
        <c:numFmt formatCode="General" sourceLinked="0"/>
        <c:majorTickMark val="out"/>
        <c:minorTickMark val="none"/>
        <c:tickLblPos val="nextTo"/>
        <c:crossAx val="245444992"/>
        <c:crosses val="autoZero"/>
        <c:auto val="1"/>
        <c:lblAlgn val="ctr"/>
        <c:lblOffset val="100"/>
        <c:noMultiLvlLbl val="0"/>
      </c:catAx>
      <c:valAx>
        <c:axId val="245444992"/>
        <c:scaling>
          <c:orientation val="minMax"/>
        </c:scaling>
        <c:delete val="0"/>
        <c:axPos val="l"/>
        <c:majorGridlines/>
        <c:title>
          <c:tx>
            <c:rich>
              <a:bodyPr rot="-5400000" vert="horz"/>
              <a:lstStyle/>
              <a:p>
                <a:pPr>
                  <a:defRPr b="0"/>
                </a:pPr>
                <a:r>
                  <a:rPr lang="el-GR" b="0"/>
                  <a:t>β</a:t>
                </a:r>
                <a:r>
                  <a:rPr lang="en-GB" b="0"/>
                  <a:t>-turn propensity</a:t>
                </a:r>
              </a:p>
            </c:rich>
          </c:tx>
          <c:overlay val="0"/>
        </c:title>
        <c:numFmt formatCode="General" sourceLinked="1"/>
        <c:majorTickMark val="out"/>
        <c:minorTickMark val="none"/>
        <c:tickLblPos val="nextTo"/>
        <c:crossAx val="245385856"/>
        <c:crosses val="autoZero"/>
        <c:crossBetween val="between"/>
      </c:valAx>
      <c:spPr>
        <a:ln>
          <a:solidFill>
            <a:schemeClr val="tx1">
              <a:lumMod val="50000"/>
              <a:lumOff val="50000"/>
            </a:schemeClr>
          </a:solidFill>
        </a:ln>
      </c:spPr>
    </c:plotArea>
    <c:legend>
      <c:legendPos val="b"/>
      <c:overlay val="0"/>
    </c:legend>
    <c:plotVisOnly val="1"/>
    <c:dispBlanksAs val="gap"/>
    <c:showDLblsOverMax val="0"/>
  </c:chart>
  <c:spPr>
    <a:ln>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Sheet1!$A$22</c:f>
              <c:strCache>
                <c:ptCount val="1"/>
                <c:pt idx="0">
                  <c:v>1-100 frames</c:v>
                </c:pt>
              </c:strCache>
            </c:strRef>
          </c:tx>
          <c:spPr>
            <a:solidFill>
              <a:schemeClr val="tx1">
                <a:lumMod val="50000"/>
                <a:lumOff val="50000"/>
              </a:schemeClr>
            </a:solidFill>
          </c:spPr>
          <c:invertIfNegative val="0"/>
          <c:dPt>
            <c:idx val="1"/>
            <c:invertIfNegative val="0"/>
            <c:bubble3D val="0"/>
            <c:spPr>
              <a:solidFill>
                <a:schemeClr val="accent2">
                  <a:lumMod val="40000"/>
                  <a:lumOff val="60000"/>
                </a:schemeClr>
              </a:solidFill>
            </c:spPr>
            <c:extLst>
              <c:ext xmlns:c16="http://schemas.microsoft.com/office/drawing/2014/chart" uri="{C3380CC4-5D6E-409C-BE32-E72D297353CC}">
                <c16:uniqueId val="{00000001-5836-47E6-B3D0-EE88CA18B536}"/>
              </c:ext>
            </c:extLst>
          </c:dPt>
          <c:dPt>
            <c:idx val="2"/>
            <c:invertIfNegative val="0"/>
            <c:bubble3D val="0"/>
            <c:spPr>
              <a:solidFill>
                <a:schemeClr val="accent2">
                  <a:lumMod val="75000"/>
                </a:schemeClr>
              </a:solidFill>
            </c:spPr>
            <c:extLst>
              <c:ext xmlns:c16="http://schemas.microsoft.com/office/drawing/2014/chart" uri="{C3380CC4-5D6E-409C-BE32-E72D297353CC}">
                <c16:uniqueId val="{00000003-5836-47E6-B3D0-EE88CA18B536}"/>
              </c:ext>
            </c:extLst>
          </c:dPt>
          <c:dPt>
            <c:idx val="3"/>
            <c:invertIfNegative val="0"/>
            <c:bubble3D val="0"/>
            <c:spPr>
              <a:solidFill>
                <a:schemeClr val="accent3">
                  <a:lumMod val="40000"/>
                  <a:lumOff val="60000"/>
                </a:schemeClr>
              </a:solidFill>
            </c:spPr>
            <c:extLst>
              <c:ext xmlns:c16="http://schemas.microsoft.com/office/drawing/2014/chart" uri="{C3380CC4-5D6E-409C-BE32-E72D297353CC}">
                <c16:uniqueId val="{00000005-5836-47E6-B3D0-EE88CA18B536}"/>
              </c:ext>
            </c:extLst>
          </c:dPt>
          <c:dPt>
            <c:idx val="4"/>
            <c:invertIfNegative val="0"/>
            <c:bubble3D val="0"/>
            <c:spPr>
              <a:solidFill>
                <a:schemeClr val="accent3">
                  <a:lumMod val="75000"/>
                </a:schemeClr>
              </a:solidFill>
            </c:spPr>
            <c:extLst>
              <c:ext xmlns:c16="http://schemas.microsoft.com/office/drawing/2014/chart" uri="{C3380CC4-5D6E-409C-BE32-E72D297353CC}">
                <c16:uniqueId val="{00000007-5836-47E6-B3D0-EE88CA18B536}"/>
              </c:ext>
            </c:extLst>
          </c:dPt>
          <c:cat>
            <c:strRef>
              <c:f>Sheet1!$B$1:$F$1</c:f>
              <c:strCache>
                <c:ptCount val="5"/>
                <c:pt idx="0">
                  <c:v>12Ab</c:v>
                </c:pt>
                <c:pt idx="1">
                  <c:v>+12CU</c:v>
                </c:pt>
                <c:pt idx="2">
                  <c:v>+36CU</c:v>
                </c:pt>
                <c:pt idx="3">
                  <c:v>+12FA</c:v>
                </c:pt>
                <c:pt idx="4">
                  <c:v>+36FA</c:v>
                </c:pt>
              </c:strCache>
            </c:strRef>
          </c:cat>
          <c:val>
            <c:numRef>
              <c:f>Sheet1!$B$27:$F$27</c:f>
              <c:numCache>
                <c:formatCode>General</c:formatCode>
                <c:ptCount val="5"/>
                <c:pt idx="0">
                  <c:v>0.11212301587301579</c:v>
                </c:pt>
                <c:pt idx="1">
                  <c:v>0.10714285714285707</c:v>
                </c:pt>
                <c:pt idx="2">
                  <c:v>0.10432539682539679</c:v>
                </c:pt>
                <c:pt idx="3">
                  <c:v>0.11075396825396834</c:v>
                </c:pt>
                <c:pt idx="4">
                  <c:v>0.1259523809523809</c:v>
                </c:pt>
              </c:numCache>
            </c:numRef>
          </c:val>
          <c:extLst>
            <c:ext xmlns:c16="http://schemas.microsoft.com/office/drawing/2014/chart" uri="{C3380CC4-5D6E-409C-BE32-E72D297353CC}">
              <c16:uniqueId val="{00000008-5836-47E6-B3D0-EE88CA18B536}"/>
            </c:ext>
          </c:extLst>
        </c:ser>
        <c:ser>
          <c:idx val="1"/>
          <c:order val="1"/>
          <c:tx>
            <c:strRef>
              <c:f>Sheet1!$A$28</c:f>
              <c:strCache>
                <c:ptCount val="1"/>
                <c:pt idx="0">
                  <c:v>901-1000 frames</c:v>
                </c:pt>
              </c:strCache>
            </c:strRef>
          </c:tx>
          <c:spPr>
            <a:solidFill>
              <a:schemeClr val="bg1">
                <a:lumMod val="75000"/>
              </a:schemeClr>
            </a:solidFill>
          </c:spPr>
          <c:invertIfNegative val="0"/>
          <c:dPt>
            <c:idx val="1"/>
            <c:invertIfNegative val="0"/>
            <c:bubble3D val="0"/>
            <c:spPr>
              <a:solidFill>
                <a:schemeClr val="accent2">
                  <a:lumMod val="60000"/>
                  <a:lumOff val="40000"/>
                </a:schemeClr>
              </a:solidFill>
            </c:spPr>
            <c:extLst>
              <c:ext xmlns:c16="http://schemas.microsoft.com/office/drawing/2014/chart" uri="{C3380CC4-5D6E-409C-BE32-E72D297353CC}">
                <c16:uniqueId val="{0000000A-5836-47E6-B3D0-EE88CA18B536}"/>
              </c:ext>
            </c:extLst>
          </c:dPt>
          <c:dPt>
            <c:idx val="2"/>
            <c:invertIfNegative val="0"/>
            <c:bubble3D val="0"/>
            <c:spPr>
              <a:solidFill>
                <a:schemeClr val="accent2">
                  <a:lumMod val="50000"/>
                </a:schemeClr>
              </a:solidFill>
            </c:spPr>
            <c:extLst>
              <c:ext xmlns:c16="http://schemas.microsoft.com/office/drawing/2014/chart" uri="{C3380CC4-5D6E-409C-BE32-E72D297353CC}">
                <c16:uniqueId val="{0000000C-5836-47E6-B3D0-EE88CA18B536}"/>
              </c:ext>
            </c:extLst>
          </c:dPt>
          <c:dPt>
            <c:idx val="3"/>
            <c:invertIfNegative val="0"/>
            <c:bubble3D val="0"/>
            <c:spPr>
              <a:solidFill>
                <a:schemeClr val="accent3">
                  <a:lumMod val="60000"/>
                  <a:lumOff val="40000"/>
                </a:schemeClr>
              </a:solidFill>
            </c:spPr>
            <c:extLst>
              <c:ext xmlns:c16="http://schemas.microsoft.com/office/drawing/2014/chart" uri="{C3380CC4-5D6E-409C-BE32-E72D297353CC}">
                <c16:uniqueId val="{0000000E-5836-47E6-B3D0-EE88CA18B536}"/>
              </c:ext>
            </c:extLst>
          </c:dPt>
          <c:dPt>
            <c:idx val="4"/>
            <c:invertIfNegative val="0"/>
            <c:bubble3D val="0"/>
            <c:spPr>
              <a:solidFill>
                <a:schemeClr val="accent3">
                  <a:lumMod val="50000"/>
                </a:schemeClr>
              </a:solidFill>
            </c:spPr>
            <c:extLst>
              <c:ext xmlns:c16="http://schemas.microsoft.com/office/drawing/2014/chart" uri="{C3380CC4-5D6E-409C-BE32-E72D297353CC}">
                <c16:uniqueId val="{00000010-5836-47E6-B3D0-EE88CA18B536}"/>
              </c:ext>
            </c:extLst>
          </c:dPt>
          <c:cat>
            <c:strRef>
              <c:f>Sheet1!$B$1:$F$1</c:f>
              <c:strCache>
                <c:ptCount val="5"/>
                <c:pt idx="0">
                  <c:v>12Ab</c:v>
                </c:pt>
                <c:pt idx="1">
                  <c:v>+12CU</c:v>
                </c:pt>
                <c:pt idx="2">
                  <c:v>+36CU</c:v>
                </c:pt>
                <c:pt idx="3">
                  <c:v>+12FA</c:v>
                </c:pt>
                <c:pt idx="4">
                  <c:v>+36FA</c:v>
                </c:pt>
              </c:strCache>
            </c:strRef>
          </c:cat>
          <c:val>
            <c:numRef>
              <c:f>Sheet1!$B$33:$F$33</c:f>
              <c:numCache>
                <c:formatCode>General</c:formatCode>
                <c:ptCount val="5"/>
                <c:pt idx="0">
                  <c:v>0.14400793650793656</c:v>
                </c:pt>
                <c:pt idx="1">
                  <c:v>0.13601190476190478</c:v>
                </c:pt>
                <c:pt idx="2">
                  <c:v>0.13150793650793657</c:v>
                </c:pt>
                <c:pt idx="3">
                  <c:v>0.14130952380952372</c:v>
                </c:pt>
                <c:pt idx="4">
                  <c:v>0.14829365079365073</c:v>
                </c:pt>
              </c:numCache>
            </c:numRef>
          </c:val>
          <c:extLst>
            <c:ext xmlns:c16="http://schemas.microsoft.com/office/drawing/2014/chart" uri="{C3380CC4-5D6E-409C-BE32-E72D297353CC}">
              <c16:uniqueId val="{00000011-5836-47E6-B3D0-EE88CA18B536}"/>
            </c:ext>
          </c:extLst>
        </c:ser>
        <c:dLbls>
          <c:showLegendKey val="0"/>
          <c:showVal val="0"/>
          <c:showCatName val="0"/>
          <c:showSerName val="0"/>
          <c:showPercent val="0"/>
          <c:showBubbleSize val="0"/>
        </c:dLbls>
        <c:gapWidth val="150"/>
        <c:axId val="245862784"/>
        <c:axId val="245864320"/>
      </c:barChart>
      <c:catAx>
        <c:axId val="245862784"/>
        <c:scaling>
          <c:orientation val="minMax"/>
        </c:scaling>
        <c:delete val="0"/>
        <c:axPos val="b"/>
        <c:numFmt formatCode="General" sourceLinked="0"/>
        <c:majorTickMark val="out"/>
        <c:minorTickMark val="none"/>
        <c:tickLblPos val="nextTo"/>
        <c:crossAx val="245864320"/>
        <c:crosses val="autoZero"/>
        <c:auto val="1"/>
        <c:lblAlgn val="ctr"/>
        <c:lblOffset val="100"/>
        <c:noMultiLvlLbl val="0"/>
      </c:catAx>
      <c:valAx>
        <c:axId val="245864320"/>
        <c:scaling>
          <c:orientation val="minMax"/>
        </c:scaling>
        <c:delete val="0"/>
        <c:axPos val="l"/>
        <c:majorGridlines/>
        <c:title>
          <c:tx>
            <c:rich>
              <a:bodyPr rot="-5400000" vert="horz"/>
              <a:lstStyle/>
              <a:p>
                <a:pPr>
                  <a:defRPr/>
                </a:pPr>
                <a:r>
                  <a:rPr lang="en-US" b="0"/>
                  <a:t>bend propensity</a:t>
                </a:r>
              </a:p>
            </c:rich>
          </c:tx>
          <c:overlay val="0"/>
        </c:title>
        <c:numFmt formatCode="General" sourceLinked="1"/>
        <c:majorTickMark val="out"/>
        <c:minorTickMark val="none"/>
        <c:tickLblPos val="nextTo"/>
        <c:crossAx val="245862784"/>
        <c:crosses val="autoZero"/>
        <c:crossBetween val="between"/>
        <c:majorUnit val="4.0000000000000008E-2"/>
      </c:valAx>
      <c:spPr>
        <a:ln>
          <a:solidFill>
            <a:schemeClr val="tx1">
              <a:lumMod val="50000"/>
              <a:lumOff val="50000"/>
            </a:schemeClr>
          </a:solidFill>
        </a:ln>
      </c:spPr>
    </c:plotArea>
    <c:legend>
      <c:legendPos val="b"/>
      <c:overlay val="0"/>
    </c:legend>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TotalTime>
  <Pages>1</Pages>
  <Words>48</Words>
  <Characters>274</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Irini Doytchinova</dc:creator>
  <cp:lastModifiedBy>Irini Doytchinova</cp:lastModifiedBy>
  <cp:revision>3</cp:revision>
  <cp:lastPrinted>2020-08-03T12:31:00Z</cp:lastPrinted>
  <dcterms:created xsi:type="dcterms:W3CDTF">2020-09-04T09:55:00Z</dcterms:created>
  <dcterms:modified xsi:type="dcterms:W3CDTF">2020-09-04T10:14:00Z</dcterms:modified>
</cp:coreProperties>
</file>