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225" w:rsidRPr="00A944BE" w:rsidRDefault="00D91225" w:rsidP="00A944BE">
      <w:pPr>
        <w:ind w:right="100"/>
        <w:jc w:val="center"/>
        <w:rPr>
          <w:rFonts w:ascii="Palatino Linotype" w:eastAsia="맑은 고딕" w:hAnsi="Palatino Linotype" w:cs="Times New Roman"/>
          <w:sz w:val="18"/>
          <w:szCs w:val="24"/>
        </w:rPr>
      </w:pPr>
      <w:r w:rsidRPr="00A944BE">
        <w:rPr>
          <w:rFonts w:ascii="Palatino Linotype" w:hAnsi="Palatino Linotype" w:cs="Times New Roman"/>
          <w:b/>
          <w:sz w:val="18"/>
          <w:szCs w:val="24"/>
        </w:rPr>
        <w:t>Table S1. Pharmacokinet</w:t>
      </w:r>
      <w:bookmarkStart w:id="0" w:name="_GoBack"/>
      <w:bookmarkEnd w:id="0"/>
      <w:r w:rsidRPr="00A944BE">
        <w:rPr>
          <w:rFonts w:ascii="Palatino Linotype" w:hAnsi="Palatino Linotype" w:cs="Times New Roman"/>
          <w:b/>
          <w:sz w:val="18"/>
          <w:szCs w:val="24"/>
        </w:rPr>
        <w:t xml:space="preserve">ic (PK) parameters of </w:t>
      </w:r>
      <w:proofErr w:type="spellStart"/>
      <w:r w:rsidRPr="00A944BE">
        <w:rPr>
          <w:rFonts w:ascii="Palatino Linotype" w:hAnsi="Palatino Linotype" w:cs="Times New Roman"/>
          <w:b/>
          <w:sz w:val="18"/>
          <w:szCs w:val="24"/>
        </w:rPr>
        <w:t>gallic</w:t>
      </w:r>
      <w:proofErr w:type="spellEnd"/>
      <w:r w:rsidRPr="00A944BE">
        <w:rPr>
          <w:rFonts w:ascii="Palatino Linotype" w:hAnsi="Palatino Linotype" w:cs="Times New Roman"/>
          <w:b/>
          <w:sz w:val="18"/>
          <w:szCs w:val="24"/>
        </w:rPr>
        <w:t xml:space="preserve"> acid, methyl </w:t>
      </w:r>
      <w:proofErr w:type="spellStart"/>
      <w:r w:rsidRPr="00A944BE">
        <w:rPr>
          <w:rFonts w:ascii="Palatino Linotype" w:hAnsi="Palatino Linotype" w:cs="Times New Roman"/>
          <w:b/>
          <w:sz w:val="18"/>
          <w:szCs w:val="24"/>
        </w:rPr>
        <w:t>gallate</w:t>
      </w:r>
      <w:proofErr w:type="spellEnd"/>
      <w:r w:rsidRPr="00A944BE">
        <w:rPr>
          <w:rFonts w:ascii="Palatino Linotype" w:hAnsi="Palatino Linotype" w:cs="Times New Roman"/>
          <w:b/>
          <w:sz w:val="18"/>
          <w:szCs w:val="24"/>
        </w:rPr>
        <w:t xml:space="preserve">, and </w:t>
      </w:r>
      <w:proofErr w:type="spellStart"/>
      <w:r w:rsidRPr="00A944BE">
        <w:rPr>
          <w:rFonts w:ascii="Palatino Linotype" w:hAnsi="Palatino Linotype" w:cs="Times New Roman"/>
          <w:b/>
          <w:sz w:val="18"/>
          <w:szCs w:val="24"/>
        </w:rPr>
        <w:t>paeonol</w:t>
      </w:r>
      <w:proofErr w:type="spellEnd"/>
      <w:r w:rsidRPr="00A944BE">
        <w:rPr>
          <w:rFonts w:ascii="Palatino Linotype" w:hAnsi="Palatino Linotype" w:cs="Times New Roman"/>
          <w:b/>
          <w:sz w:val="18"/>
          <w:szCs w:val="24"/>
        </w:rPr>
        <w:t xml:space="preserve"> </w:t>
      </w:r>
      <w:r w:rsidRPr="00A944BE">
        <w:rPr>
          <w:rFonts w:ascii="Palatino Linotype" w:eastAsia="맑은 고딕" w:hAnsi="Palatino Linotype" w:cs="Times New Roman"/>
          <w:b/>
          <w:sz w:val="18"/>
          <w:szCs w:val="24"/>
        </w:rPr>
        <w:t>analyzed by Traditional Chinese Medicine Systems Pharmacology (TCMSP)</w:t>
      </w:r>
    </w:p>
    <w:p w:rsidR="00D91225" w:rsidRPr="00A944BE" w:rsidRDefault="00D91225" w:rsidP="00D91225">
      <w:pPr>
        <w:spacing w:line="480" w:lineRule="auto"/>
        <w:ind w:right="100"/>
        <w:rPr>
          <w:rFonts w:ascii="Palatino Linotype" w:hAnsi="Palatino Linotype" w:cs="Times New Roman"/>
          <w:b/>
          <w:sz w:val="24"/>
          <w:szCs w:val="24"/>
        </w:rPr>
      </w:pPr>
      <w:r w:rsidRPr="00A944BE">
        <w:rPr>
          <w:rFonts w:ascii="Palatino Linotype" w:hAnsi="Palatino Linotype" w:cs="Times New Roman"/>
          <w:b/>
          <w:noProof/>
          <w:sz w:val="24"/>
          <w:szCs w:val="24"/>
        </w:rPr>
        <w:drawing>
          <wp:inline distT="0" distB="0" distL="0" distR="0" wp14:anchorId="401374AE" wp14:editId="456FFF84">
            <wp:extent cx="5760000" cy="993600"/>
            <wp:effectExtent l="0" t="0" r="0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507677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99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1225" w:rsidRPr="00A944BE" w:rsidRDefault="00D91225" w:rsidP="00A944BE">
      <w:pPr>
        <w:ind w:right="100"/>
        <w:rPr>
          <w:rFonts w:ascii="Palatino Linotype" w:eastAsia="맑은 고딕" w:hAnsi="Palatino Linotype" w:cs="Times New Roman"/>
          <w:sz w:val="18"/>
          <w:szCs w:val="24"/>
        </w:rPr>
      </w:pPr>
      <w:r w:rsidRPr="00A944BE">
        <w:rPr>
          <w:rFonts w:ascii="Palatino Linotype" w:eastAsia="맑은 고딕" w:hAnsi="Palatino Linotype" w:cs="Times New Roman"/>
          <w:sz w:val="18"/>
          <w:szCs w:val="24"/>
        </w:rPr>
        <w:t xml:space="preserve">These three components of </w:t>
      </w:r>
      <w:proofErr w:type="spellStart"/>
      <w:r w:rsidRPr="00A944BE">
        <w:rPr>
          <w:rFonts w:ascii="Palatino Linotype" w:eastAsia="맑은 고딕" w:hAnsi="Palatino Linotype" w:cs="Times New Roman"/>
          <w:i/>
          <w:sz w:val="18"/>
          <w:szCs w:val="24"/>
        </w:rPr>
        <w:t>Paeonia</w:t>
      </w:r>
      <w:proofErr w:type="spellEnd"/>
      <w:r w:rsidRPr="00A944BE">
        <w:rPr>
          <w:rFonts w:ascii="Palatino Linotype" w:eastAsia="맑은 고딕" w:hAnsi="Palatino Linotype" w:cs="Times New Roman"/>
          <w:i/>
          <w:sz w:val="18"/>
          <w:szCs w:val="24"/>
        </w:rPr>
        <w:t xml:space="preserve"> </w:t>
      </w:r>
      <w:proofErr w:type="spellStart"/>
      <w:r w:rsidRPr="00A944BE">
        <w:rPr>
          <w:rFonts w:ascii="Palatino Linotype" w:eastAsia="맑은 고딕" w:hAnsi="Palatino Linotype" w:cs="Times New Roman"/>
          <w:i/>
          <w:sz w:val="18"/>
          <w:szCs w:val="24"/>
        </w:rPr>
        <w:t>lactiflora</w:t>
      </w:r>
      <w:proofErr w:type="spellEnd"/>
      <w:r w:rsidRPr="00A944BE">
        <w:rPr>
          <w:rFonts w:ascii="Palatino Linotype" w:eastAsia="맑은 고딕" w:hAnsi="Palatino Linotype" w:cs="Times New Roman"/>
          <w:sz w:val="18"/>
          <w:szCs w:val="24"/>
        </w:rPr>
        <w:t xml:space="preserve"> did not satisfy screening criteria (oral bioavailability [</w:t>
      </w:r>
      <w:r w:rsidRPr="00A944BE">
        <w:rPr>
          <w:rFonts w:ascii="Palatino Linotype" w:hAnsi="Palatino Linotype" w:cs="Times New Roman"/>
          <w:sz w:val="18"/>
          <w:szCs w:val="24"/>
        </w:rPr>
        <w:t xml:space="preserve">OB] </w:t>
      </w:r>
      <w:r w:rsidRPr="00A944BE">
        <w:rPr>
          <w:rFonts w:ascii="Palatino Linotype" w:eastAsia="맑은 고딕" w:hAnsi="Palatino Linotype" w:cs="Times New Roman"/>
          <w:sz w:val="18"/>
          <w:szCs w:val="24"/>
        </w:rPr>
        <w:t xml:space="preserve">≥ </w:t>
      </w:r>
      <w:r w:rsidRPr="00A944BE">
        <w:rPr>
          <w:rFonts w:ascii="Palatino Linotype" w:hAnsi="Palatino Linotype" w:cs="Times New Roman"/>
          <w:sz w:val="18"/>
          <w:szCs w:val="24"/>
        </w:rPr>
        <w:t xml:space="preserve">30% and drug likeness [DL] </w:t>
      </w:r>
      <w:r w:rsidRPr="00A944BE">
        <w:rPr>
          <w:rFonts w:ascii="Palatino Linotype" w:eastAsia="맑은 고딕" w:hAnsi="Palatino Linotype" w:cs="Times New Roman"/>
          <w:sz w:val="18"/>
          <w:szCs w:val="24"/>
        </w:rPr>
        <w:t>≥ 0.18)</w:t>
      </w:r>
    </w:p>
    <w:p w:rsidR="00D91225" w:rsidRPr="00A944BE" w:rsidRDefault="00D91225" w:rsidP="00A944BE">
      <w:pPr>
        <w:ind w:right="100"/>
        <w:jc w:val="left"/>
        <w:rPr>
          <w:rFonts w:ascii="Palatino Linotype" w:hAnsi="Palatino Linotype" w:cs="Times New Roman"/>
          <w:sz w:val="18"/>
          <w:szCs w:val="24"/>
        </w:rPr>
      </w:pPr>
      <w:r w:rsidRPr="00A944BE">
        <w:rPr>
          <w:rFonts w:ascii="Palatino Linotype" w:eastAsia="맑은 고딕" w:hAnsi="Palatino Linotype" w:cs="Times New Roman"/>
          <w:sz w:val="18"/>
          <w:szCs w:val="24"/>
        </w:rPr>
        <w:t>Note: MW, molecular weight; OB, oral bioavailability; DL, drug likeness;</w:t>
      </w:r>
      <w:r w:rsidR="00A944BE">
        <w:rPr>
          <w:rFonts w:ascii="Palatino Linotype" w:eastAsia="맑은 고딕" w:hAnsi="Palatino Linotype" w:cs="Times New Roman"/>
          <w:sz w:val="18"/>
          <w:szCs w:val="24"/>
        </w:rPr>
        <w:t xml:space="preserve"> </w:t>
      </w:r>
      <w:proofErr w:type="spellStart"/>
      <w:r w:rsidR="00A944BE">
        <w:rPr>
          <w:rFonts w:ascii="Palatino Linotype" w:eastAsia="맑은 고딕" w:hAnsi="Palatino Linotype" w:cs="Times New Roman"/>
          <w:sz w:val="18"/>
          <w:szCs w:val="24"/>
        </w:rPr>
        <w:t>AlogP</w:t>
      </w:r>
      <w:proofErr w:type="spellEnd"/>
      <w:r w:rsidR="00A944BE">
        <w:rPr>
          <w:rFonts w:ascii="Palatino Linotype" w:eastAsia="맑은 고딕" w:hAnsi="Palatino Linotype" w:cs="Times New Roman"/>
          <w:sz w:val="18"/>
          <w:szCs w:val="24"/>
        </w:rPr>
        <w:t xml:space="preserve">, </w:t>
      </w:r>
      <w:proofErr w:type="spellStart"/>
      <w:r w:rsidR="00A944BE">
        <w:rPr>
          <w:rFonts w:ascii="Palatino Linotype" w:eastAsia="맑은 고딕" w:hAnsi="Palatino Linotype" w:cs="Times New Roman"/>
          <w:sz w:val="18"/>
          <w:szCs w:val="24"/>
        </w:rPr>
        <w:t>octanol</w:t>
      </w:r>
      <w:proofErr w:type="spellEnd"/>
      <w:r w:rsidR="00A944BE">
        <w:rPr>
          <w:rFonts w:ascii="Palatino Linotype" w:eastAsia="맑은 고딕" w:hAnsi="Palatino Linotype" w:cs="Times New Roman"/>
          <w:sz w:val="18"/>
          <w:szCs w:val="24"/>
        </w:rPr>
        <w:t xml:space="preserve">-water partition </w:t>
      </w:r>
      <w:r w:rsidRPr="00A944BE">
        <w:rPr>
          <w:rFonts w:ascii="Palatino Linotype" w:eastAsia="맑은 고딕" w:hAnsi="Palatino Linotype" w:cs="Times New Roman"/>
          <w:sz w:val="18"/>
          <w:szCs w:val="24"/>
        </w:rPr>
        <w:t xml:space="preserve">coefficient log P; </w:t>
      </w:r>
      <w:proofErr w:type="spellStart"/>
      <w:r w:rsidRPr="00A944BE">
        <w:rPr>
          <w:rFonts w:ascii="Palatino Linotype" w:eastAsia="맑은 고딕" w:hAnsi="Palatino Linotype" w:cs="Times New Roman"/>
          <w:sz w:val="18"/>
          <w:szCs w:val="24"/>
        </w:rPr>
        <w:t>Hdon</w:t>
      </w:r>
      <w:proofErr w:type="spellEnd"/>
      <w:r w:rsidRPr="00A944BE">
        <w:rPr>
          <w:rFonts w:ascii="Palatino Linotype" w:eastAsia="맑은 고딕" w:hAnsi="Palatino Linotype" w:cs="Times New Roman"/>
          <w:sz w:val="18"/>
          <w:szCs w:val="24"/>
        </w:rPr>
        <w:t xml:space="preserve">, hydrogen donor; </w:t>
      </w:r>
      <w:proofErr w:type="spellStart"/>
      <w:r w:rsidRPr="00A944BE">
        <w:rPr>
          <w:rFonts w:ascii="Palatino Linotype" w:eastAsia="맑은 고딕" w:hAnsi="Palatino Linotype" w:cs="Times New Roman"/>
          <w:sz w:val="18"/>
          <w:szCs w:val="24"/>
        </w:rPr>
        <w:t>Hacc</w:t>
      </w:r>
      <w:proofErr w:type="spellEnd"/>
      <w:r w:rsidRPr="00A944BE">
        <w:rPr>
          <w:rFonts w:ascii="Palatino Linotype" w:eastAsia="맑은 고딕" w:hAnsi="Palatino Linotype" w:cs="Times New Roman"/>
          <w:sz w:val="18"/>
          <w:szCs w:val="24"/>
        </w:rPr>
        <w:t>, hydrogen bond acceptor; Caco-2, Caco-2 permeability.</w:t>
      </w:r>
    </w:p>
    <w:p w:rsidR="002D2995" w:rsidRPr="00A944BE" w:rsidRDefault="002D2995">
      <w:pPr>
        <w:rPr>
          <w:rFonts w:ascii="Palatino Linotype" w:hAnsi="Palatino Linotype"/>
        </w:rPr>
      </w:pPr>
    </w:p>
    <w:sectPr w:rsidR="002D2995" w:rsidRPr="00A944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3tjA0MDYyM7YwszBV0lEKTi0uzszPAykwrAUA33vB/SwAAAA="/>
  </w:docVars>
  <w:rsids>
    <w:rsidRoot w:val="00D91225"/>
    <w:rsid w:val="002D2995"/>
    <w:rsid w:val="00A944BE"/>
    <w:rsid w:val="00D9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40555"/>
  <w15:chartTrackingRefBased/>
  <w15:docId w15:val="{AF256881-6609-4478-AE7F-4FD28661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Hyerin</dc:creator>
  <cp:keywords/>
  <dc:description/>
  <cp:lastModifiedBy>Park Hyerin</cp:lastModifiedBy>
  <cp:revision>2</cp:revision>
  <dcterms:created xsi:type="dcterms:W3CDTF">2021-02-02T11:15:00Z</dcterms:created>
  <dcterms:modified xsi:type="dcterms:W3CDTF">2021-02-02T11:23:00Z</dcterms:modified>
</cp:coreProperties>
</file>