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1E96B" w14:textId="0C1AAB57" w:rsidR="006A4104" w:rsidRPr="00264E76" w:rsidRDefault="00496B7A" w:rsidP="007C424A">
      <w:pPr>
        <w:rPr>
          <w:rFonts w:ascii="Palatino Linotype" w:eastAsia="Times New Roman" w:hAnsi="Palatino Linotype"/>
          <w:sz w:val="20"/>
          <w:szCs w:val="20"/>
        </w:rPr>
      </w:pPr>
      <w:r w:rsidRPr="00A62C3C">
        <w:rPr>
          <w:rFonts w:ascii="Palatino Linotype" w:hAnsi="Palatino Linotype" w:cstheme="minorHAnsi"/>
          <w:sz w:val="20"/>
          <w:szCs w:val="22"/>
        </w:rPr>
        <w:t>Supplemental T</w:t>
      </w:r>
      <w:r w:rsidR="005F061D" w:rsidRPr="00A62C3C">
        <w:rPr>
          <w:rFonts w:ascii="Palatino Linotype" w:hAnsi="Palatino Linotype" w:cstheme="minorHAnsi"/>
          <w:sz w:val="20"/>
          <w:szCs w:val="22"/>
        </w:rPr>
        <w:t>able 1: Potential diagnostic circulating miRNA biomarkers for melanoma. T</w:t>
      </w:r>
      <w:r w:rsidR="005F061D" w:rsidRPr="005C6E89">
        <w:rPr>
          <w:rFonts w:ascii="Palatino Linotype" w:hAnsi="Palatino Linotype" w:cstheme="minorHAnsi"/>
          <w:sz w:val="20"/>
          <w:szCs w:val="22"/>
        </w:rPr>
        <w:t xml:space="preserve">his table summarises the circulating miRNAs found to be differentially expressed in the </w:t>
      </w:r>
      <w:r w:rsidR="005F061D" w:rsidRPr="00264E76">
        <w:rPr>
          <w:rFonts w:ascii="Palatino Linotype" w:hAnsi="Palatino Linotype" w:cstheme="minorHAnsi"/>
          <w:sz w:val="20"/>
          <w:szCs w:val="20"/>
        </w:rPr>
        <w:t>circulation of melanoma patients relative to healthy controls</w:t>
      </w:r>
      <w:r w:rsidR="00163D08">
        <w:rPr>
          <w:rFonts w:ascii="Palatino Linotype" w:hAnsi="Palatino Linotype" w:cstheme="minorHAnsi"/>
          <w:sz w:val="20"/>
          <w:szCs w:val="20"/>
        </w:rPr>
        <w:t xml:space="preserve"> (Stage 0)</w:t>
      </w:r>
      <w:r w:rsidR="005F061D" w:rsidRPr="00264E76">
        <w:rPr>
          <w:rFonts w:ascii="Palatino Linotype" w:hAnsi="Palatino Linotype" w:cstheme="minorHAnsi"/>
          <w:sz w:val="20"/>
          <w:szCs w:val="20"/>
        </w:rPr>
        <w:t xml:space="preserve">, highlighting the technical variables that may lead to the lack of consistency between studies. </w:t>
      </w:r>
      <w:r w:rsidR="005C6E89" w:rsidRPr="00264E76">
        <w:rPr>
          <w:rFonts w:ascii="Palatino Linotype" w:hAnsi="Palatino Linotype" w:cstheme="minorHAnsi"/>
          <w:color w:val="000000" w:themeColor="text1"/>
          <w:sz w:val="20"/>
          <w:szCs w:val="20"/>
        </w:rPr>
        <w:t>Pastel blue rows refer to dis</w:t>
      </w:r>
      <w:r w:rsidR="008F635E">
        <w:rPr>
          <w:rFonts w:ascii="Palatino Linotype" w:hAnsi="Palatino Linotype" w:cstheme="minorHAnsi"/>
          <w:color w:val="000000" w:themeColor="text1"/>
          <w:sz w:val="20"/>
          <w:szCs w:val="20"/>
        </w:rPr>
        <w:t>covery/training patient cohorts.</w:t>
      </w:r>
      <w:r w:rsidR="005C6E89" w:rsidRPr="00264E76">
        <w:rPr>
          <w:rFonts w:ascii="Palatino Linotype" w:hAnsi="Palatino Linotype" w:cstheme="minorHAnsi"/>
          <w:color w:val="000000" w:themeColor="text1"/>
          <w:sz w:val="20"/>
          <w:szCs w:val="20"/>
        </w:rPr>
        <w:t xml:space="preserve"> Pastel orange rows refer to </w:t>
      </w:r>
      <w:r w:rsidR="006B543C" w:rsidRPr="00264E76">
        <w:rPr>
          <w:rFonts w:ascii="Palatino Linotype" w:hAnsi="Palatino Linotype" w:cstheme="minorHAnsi"/>
          <w:color w:val="000000" w:themeColor="text1"/>
          <w:sz w:val="20"/>
          <w:szCs w:val="20"/>
        </w:rPr>
        <w:t xml:space="preserve">independent </w:t>
      </w:r>
      <w:r w:rsidR="008F635E">
        <w:rPr>
          <w:rFonts w:ascii="Palatino Linotype" w:hAnsi="Palatino Linotype" w:cstheme="minorHAnsi"/>
          <w:color w:val="000000" w:themeColor="text1"/>
          <w:sz w:val="20"/>
          <w:szCs w:val="20"/>
        </w:rPr>
        <w:t>validation patient cohorts.</w:t>
      </w:r>
      <w:r w:rsidR="005C6E89" w:rsidRPr="00264E76">
        <w:rPr>
          <w:rFonts w:ascii="Palatino Linotype" w:hAnsi="Palatino Linotype" w:cstheme="minorHAnsi"/>
          <w:color w:val="000000" w:themeColor="text1"/>
          <w:sz w:val="20"/>
          <w:szCs w:val="20"/>
        </w:rPr>
        <w:t xml:space="preserve"> </w:t>
      </w:r>
      <w:r w:rsidR="008E2129" w:rsidRPr="00264E76">
        <w:rPr>
          <w:rFonts w:ascii="Palatino Linotype" w:hAnsi="Palatino Linotype" w:cstheme="minorHAnsi"/>
          <w:sz w:val="20"/>
          <w:szCs w:val="20"/>
        </w:rPr>
        <w:t xml:space="preserve">MiRNAs showing the same direction of change between multiple studies and/or have been verified using both a </w:t>
      </w:r>
      <w:r w:rsidR="00561711" w:rsidRPr="00264E76">
        <w:rPr>
          <w:rFonts w:ascii="Palatino Linotype" w:hAnsi="Palatino Linotype" w:cstheme="minorHAnsi"/>
          <w:sz w:val="20"/>
          <w:szCs w:val="20"/>
        </w:rPr>
        <w:t>discovery and validation cohort</w:t>
      </w:r>
      <w:r w:rsidR="008F635E">
        <w:rPr>
          <w:rFonts w:ascii="Palatino Linotype" w:hAnsi="Palatino Linotype" w:cstheme="minorHAnsi"/>
          <w:sz w:val="20"/>
          <w:szCs w:val="20"/>
        </w:rPr>
        <w:t xml:space="preserve"> are shown in green.</w:t>
      </w:r>
      <w:r w:rsidR="005C6E89" w:rsidRPr="00264E76">
        <w:rPr>
          <w:rFonts w:ascii="Palatino Linotype" w:hAnsi="Palatino Linotype" w:cstheme="minorHAnsi"/>
          <w:sz w:val="20"/>
          <w:szCs w:val="20"/>
        </w:rPr>
        <w:t xml:space="preserve"> </w:t>
      </w:r>
      <w:r w:rsidR="007118BF" w:rsidRPr="00264E76">
        <w:rPr>
          <w:rFonts w:ascii="Palatino Linotype" w:hAnsi="Palatino Linotype" w:cstheme="minorHAnsi"/>
          <w:sz w:val="20"/>
          <w:szCs w:val="20"/>
        </w:rPr>
        <w:t xml:space="preserve">MiRNAs </w:t>
      </w:r>
      <w:r w:rsidR="007118BF" w:rsidRPr="00264E76">
        <w:rPr>
          <w:rFonts w:ascii="Palatino Linotype" w:hAnsi="Palatino Linotype" w:cs="Arial"/>
          <w:color w:val="000000" w:themeColor="text1"/>
          <w:sz w:val="20"/>
          <w:szCs w:val="20"/>
        </w:rPr>
        <w:t>that have been identified by multiple studies showing the same direction of change between studies, have used an acceptable normalisation method and have been verified using an independent valid</w:t>
      </w:r>
      <w:r w:rsidR="005C6E89" w:rsidRPr="00264E76">
        <w:rPr>
          <w:rFonts w:ascii="Palatino Linotype" w:hAnsi="Palatino Linotype" w:cs="Arial"/>
          <w:color w:val="000000" w:themeColor="text1"/>
          <w:sz w:val="20"/>
          <w:szCs w:val="20"/>
        </w:rPr>
        <w:t xml:space="preserve">ation cohort are shown in green </w:t>
      </w:r>
      <w:r w:rsidR="007118BF" w:rsidRPr="00264E76">
        <w:rPr>
          <w:rFonts w:ascii="Palatino Linotype" w:hAnsi="Palatino Linotype" w:cs="Arial"/>
          <w:color w:val="000000" w:themeColor="text1"/>
          <w:sz w:val="20"/>
          <w:szCs w:val="20"/>
        </w:rPr>
        <w:t>and are underlined</w:t>
      </w:r>
      <w:r w:rsidR="008F635E">
        <w:rPr>
          <w:rFonts w:ascii="Palatino Linotype" w:hAnsi="Palatino Linotype" w:cs="Arial"/>
          <w:color w:val="000000" w:themeColor="text1"/>
          <w:sz w:val="20"/>
          <w:szCs w:val="20"/>
        </w:rPr>
        <w:t>.</w:t>
      </w:r>
      <w:r w:rsidR="005C6E89" w:rsidRPr="00264E76">
        <w:rPr>
          <w:rFonts w:ascii="Palatino Linotype" w:hAnsi="Palatino Linotype" w:cs="Arial"/>
          <w:color w:val="000000" w:themeColor="text1"/>
          <w:sz w:val="20"/>
          <w:szCs w:val="20"/>
        </w:rPr>
        <w:t xml:space="preserve"> </w:t>
      </w:r>
      <w:r w:rsidR="008E2129" w:rsidRPr="00264E76">
        <w:rPr>
          <w:rFonts w:ascii="Palatino Linotype" w:hAnsi="Palatino Linotype" w:cstheme="minorHAnsi"/>
          <w:sz w:val="20"/>
          <w:szCs w:val="20"/>
        </w:rPr>
        <w:t>MiRNAs showing a different direction of change between</w:t>
      </w:r>
      <w:r w:rsidR="005C6E89" w:rsidRPr="00264E76">
        <w:rPr>
          <w:rFonts w:ascii="Palatino Linotype" w:hAnsi="Palatino Linotype" w:cstheme="minorHAnsi"/>
          <w:sz w:val="20"/>
          <w:szCs w:val="20"/>
        </w:rPr>
        <w:t xml:space="preserve"> studies are </w:t>
      </w:r>
      <w:r w:rsidR="008F635E">
        <w:rPr>
          <w:rFonts w:ascii="Palatino Linotype" w:hAnsi="Palatino Linotype" w:cstheme="minorHAnsi"/>
          <w:sz w:val="20"/>
          <w:szCs w:val="20"/>
        </w:rPr>
        <w:t>shown in red.</w:t>
      </w:r>
      <w:r w:rsidR="008E2129" w:rsidRPr="00264E76">
        <w:rPr>
          <w:rFonts w:ascii="Palatino Linotype" w:hAnsi="Palatino Linotype" w:cstheme="minorHAnsi"/>
          <w:sz w:val="20"/>
          <w:szCs w:val="20"/>
        </w:rPr>
        <w:t xml:space="preserve"> </w:t>
      </w:r>
      <w:r w:rsidR="00C2122F" w:rsidRPr="00264E76">
        <w:rPr>
          <w:rFonts w:ascii="Palatino Linotype" w:hAnsi="Palatino Linotype" w:cstheme="minorHAnsi"/>
          <w:sz w:val="20"/>
          <w:szCs w:val="20"/>
        </w:rPr>
        <w:t>Exogenous spike</w:t>
      </w:r>
      <w:r w:rsidR="008F635E">
        <w:rPr>
          <w:rFonts w:ascii="Palatino Linotype" w:hAnsi="Palatino Linotype" w:cstheme="minorHAnsi"/>
          <w:sz w:val="20"/>
          <w:szCs w:val="20"/>
        </w:rPr>
        <w:t>-in controls are shown in blue.</w:t>
      </w:r>
      <w:r w:rsidR="005C6E89" w:rsidRPr="00264E76">
        <w:rPr>
          <w:rFonts w:ascii="Palatino Linotype" w:hAnsi="Palatino Linotype" w:cstheme="minorHAnsi"/>
          <w:sz w:val="20"/>
          <w:szCs w:val="20"/>
        </w:rPr>
        <w:t xml:space="preserve"> </w:t>
      </w:r>
      <w:r w:rsidR="006A4104" w:rsidRPr="00264E76">
        <w:rPr>
          <w:rFonts w:ascii="Palatino Linotype" w:hAnsi="Palatino Linotype" w:cstheme="minorHAnsi"/>
          <w:sz w:val="20"/>
          <w:szCs w:val="20"/>
        </w:rPr>
        <w:t xml:space="preserve">Abbreviations for assays are as follows: TaqMan </w:t>
      </w:r>
      <w:r w:rsidR="00903FE5" w:rsidRPr="00264E76">
        <w:rPr>
          <w:rFonts w:ascii="Palatino Linotype" w:hAnsi="Palatino Linotype" w:cstheme="minorHAnsi"/>
          <w:sz w:val="20"/>
          <w:szCs w:val="20"/>
        </w:rPr>
        <w:t xml:space="preserve">qRT-PCR </w:t>
      </w:r>
      <w:r w:rsidR="006A4104" w:rsidRPr="00264E76">
        <w:rPr>
          <w:rFonts w:ascii="Palatino Linotype" w:hAnsi="Palatino Linotype" w:cstheme="minorHAnsi"/>
          <w:sz w:val="20"/>
          <w:szCs w:val="20"/>
        </w:rPr>
        <w:t xml:space="preserve">= 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>TaqMan microRNA qRT-P</w:t>
      </w:r>
      <w:r w:rsidR="008F635E">
        <w:rPr>
          <w:rFonts w:ascii="Palatino Linotype" w:eastAsia="Times New Roman" w:hAnsi="Palatino Linotype" w:cstheme="minorHAnsi"/>
          <w:color w:val="000000"/>
          <w:sz w:val="20"/>
          <w:szCs w:val="20"/>
        </w:rPr>
        <w:t>CR assays (Applied Biosystems);</w:t>
      </w:r>
      <w:r w:rsidR="005C6E89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</w:t>
      </w:r>
      <w:r w:rsidR="00903FE5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miScript qRT-PCR = </w:t>
      </w:r>
      <w:r w:rsidR="00903FE5" w:rsidRPr="00264E76">
        <w:rPr>
          <w:rFonts w:ascii="Palatino Linotype" w:eastAsia="Times New Roman" w:hAnsi="Palatino Linotype"/>
          <w:noProof/>
          <w:sz w:val="20"/>
          <w:szCs w:val="20"/>
        </w:rPr>
        <mc:AlternateContent>
          <mc:Choice Requires="wps">
            <w:drawing>
              <wp:inline distT="0" distB="0" distL="0" distR="0" wp14:anchorId="729D463D" wp14:editId="169C8999">
                <wp:extent cx="9525" cy="9525"/>
                <wp:effectExtent l="0" t="0" r="0" b="0"/>
                <wp:docPr id="1" name="Rectangle 1" descr="https://d.adroll.com/cm/aol/ou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28E120A" id="Rectangle 1" o:spid="_x0000_s1026" alt="https://d.adroll.com/cm/aol/out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r w:rsidR="00903FE5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>miScript SYBR Green PCR Kit (Qiagen)</w:t>
      </w:r>
      <w:r w:rsidR="008F635E">
        <w:rPr>
          <w:rFonts w:ascii="Palatino Linotype" w:hAnsi="Palatino Linotype" w:cstheme="minorHAnsi"/>
          <w:sz w:val="20"/>
          <w:szCs w:val="20"/>
        </w:rPr>
        <w:t xml:space="preserve">; 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miRCURY </w:t>
      </w:r>
      <w:r w:rsidR="00903FE5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qRT-PCR 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= miRCURY LNA Universal RT </w:t>
      </w:r>
      <w:r w:rsidR="008F635E">
        <w:rPr>
          <w:rFonts w:ascii="Palatino Linotype" w:eastAsia="Times New Roman" w:hAnsi="Palatino Linotype" w:cstheme="minorHAnsi"/>
          <w:color w:val="000000"/>
          <w:sz w:val="20"/>
          <w:szCs w:val="20"/>
        </w:rPr>
        <w:t>microRNA qRT-PCR assay (Exiqon);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</w:t>
      </w:r>
      <w:r w:rsidR="00903FE5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>1066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miRNA qPCR array </w:t>
      </w:r>
      <w:r w:rsidR="00903FE5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= miScript 1066 miRNA qPCR array </w:t>
      </w:r>
      <w:r w:rsidR="000F432D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>platform</w:t>
      </w:r>
      <w:r w:rsidR="008F635E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(Qiagen, miRBase v.16);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</w:t>
      </w:r>
      <w:r w:rsidR="000F432D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866 miRNA microarray platform = 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>866 miRNA microarray platf</w:t>
      </w:r>
      <w:r w:rsidR="008F635E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orm (GRTA); </w:t>
      </w:r>
      <w:r w:rsidR="000F432D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multiplexed nCounter microRNA Assay V3  = 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>multiplexed nCounter microRNA Assay V3 (Nano-String)</w:t>
      </w:r>
      <w:r w:rsidR="008F635E">
        <w:rPr>
          <w:rFonts w:ascii="Palatino Linotype" w:eastAsia="Times New Roman" w:hAnsi="Palatino Linotype" w:cstheme="minorHAnsi"/>
          <w:color w:val="000000"/>
          <w:sz w:val="20"/>
          <w:szCs w:val="20"/>
        </w:rPr>
        <w:t>.</w:t>
      </w:r>
      <w:r w:rsidR="005C6E89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</w:t>
      </w:r>
      <w:r w:rsidR="006A4104" w:rsidRPr="00264E76">
        <w:rPr>
          <w:rFonts w:ascii="Palatino Linotype" w:hAnsi="Palatino Linotype" w:cstheme="minorHAnsi"/>
          <w:sz w:val="20"/>
          <w:szCs w:val="20"/>
        </w:rPr>
        <w:t>Abbreviations for RNA extractions kits are as follows: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miRNeasy Kit = miRNeasy RNA</w:t>
      </w:r>
      <w:r w:rsidR="003C35FC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Isolation kit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</w:t>
      </w:r>
      <w:r w:rsidR="008F635E">
        <w:rPr>
          <w:rFonts w:ascii="Palatino Linotype" w:eastAsia="Times New Roman" w:hAnsi="Palatino Linotype" w:cstheme="minorHAnsi"/>
          <w:color w:val="000000"/>
          <w:sz w:val="20"/>
          <w:szCs w:val="20"/>
        </w:rPr>
        <w:t>(Qiagen);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miRNeasy serum/plasma kit = miR</w:t>
      </w:r>
      <w:r w:rsidR="008F635E">
        <w:rPr>
          <w:rFonts w:ascii="Palatino Linotype" w:eastAsia="Times New Roman" w:hAnsi="Palatino Linotype" w:cstheme="minorHAnsi"/>
          <w:color w:val="000000"/>
          <w:sz w:val="20"/>
          <w:szCs w:val="20"/>
        </w:rPr>
        <w:t>Neasy serum/plasma kit (Qiagen);</w:t>
      </w:r>
      <w:r w:rsidR="006A4104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 xml:space="preserve"> miRNeasy FFPE Kit = miRNeasy FFPE Kit (Qiagen)</w:t>
      </w:r>
      <w:r w:rsidR="003C35FC" w:rsidRPr="00264E76">
        <w:rPr>
          <w:rFonts w:ascii="Palatino Linotype" w:eastAsia="Times New Roman" w:hAnsi="Palatino Linotype" w:cstheme="minorHAnsi"/>
          <w:color w:val="000000"/>
          <w:sz w:val="20"/>
          <w:szCs w:val="20"/>
        </w:rPr>
        <w:t>.</w:t>
      </w:r>
    </w:p>
    <w:p w14:paraId="5188B908" w14:textId="77777777" w:rsidR="006A4104" w:rsidRDefault="006A4104" w:rsidP="00375822">
      <w:pPr>
        <w:jc w:val="both"/>
        <w:rPr>
          <w:rFonts w:eastAsia="Times New Roman" w:cstheme="minorHAnsi"/>
          <w:color w:val="000000"/>
          <w:sz w:val="22"/>
          <w:szCs w:val="22"/>
        </w:rPr>
      </w:pP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1485"/>
        <w:gridCol w:w="783"/>
        <w:gridCol w:w="1550"/>
        <w:gridCol w:w="1002"/>
        <w:gridCol w:w="1086"/>
        <w:gridCol w:w="1179"/>
        <w:gridCol w:w="1704"/>
        <w:gridCol w:w="1134"/>
        <w:gridCol w:w="1134"/>
        <w:gridCol w:w="1417"/>
      </w:tblGrid>
      <w:tr w:rsidR="00496B7A" w:rsidRPr="00CC366A" w14:paraId="166C55CD" w14:textId="77777777" w:rsidTr="00D27A21">
        <w:trPr>
          <w:trHeight w:val="8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F41F4E4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Reference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05CBE40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miRNA </w:t>
            </w:r>
          </w:p>
          <w:p w14:paraId="20FB54A0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up-regulated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EA3A84" w14:textId="77777777" w:rsidR="00496B7A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miRNA </w:t>
            </w:r>
          </w:p>
          <w:p w14:paraId="08D3C33B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down-regulated</w:t>
            </w: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F569C7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Sample type 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E7CBBC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Sample distribution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7FE056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Samples checked for Haemolysis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CE1271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Plasma/ serum preparation protocol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2A652AB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RNA Extraction kit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1BE26E3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Normalisation method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6E6B838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C362073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qPCR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387A907" w14:textId="77777777" w:rsidR="00496B7A" w:rsidRPr="003869B2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869B2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Other detection method</w:t>
            </w:r>
          </w:p>
        </w:tc>
      </w:tr>
      <w:tr w:rsidR="00496B7A" w:rsidRPr="00CC366A" w14:paraId="5201BEA6" w14:textId="77777777" w:rsidTr="00D27A21">
        <w:trPr>
          <w:trHeight w:val="2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244E4C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DC959E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30 miRNAs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64D0B2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21 miRNAs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A73812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Blood cells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1EEA9A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Stages I/II (1), II (7), III (4), IV (8); unknown stage (4); healthy (20)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1AC42D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E4CEF6" w14:textId="6CCBC6B2" w:rsidR="00496B7A" w:rsidRPr="003A6D67" w:rsidRDefault="003A6D67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E47A5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kit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359C84" w14:textId="7B87FB5A" w:rsidR="00496B7A" w:rsidRPr="003A6D67" w:rsidRDefault="009037E4" w:rsidP="00EA27C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</w:rPr>
              <w:t>s</w:t>
            </w:r>
            <w:r w:rsidR="003A6D67" w:rsidRPr="002158D1">
              <w:rPr>
                <w:rFonts w:ascii="Palatino Linotype" w:hAnsi="Palatino Linotype" w:cs="Arial"/>
                <w:sz w:val="16"/>
                <w:szCs w:val="16"/>
              </w:rPr>
              <w:t>mall nucleolar RNA</w:t>
            </w:r>
            <w:r w:rsidR="00EA27C5">
              <w:rPr>
                <w:rFonts w:ascii="Palatino Linotype" w:hAnsi="Palatino Linotype" w:cs="Arial"/>
                <w:sz w:val="16"/>
                <w:szCs w:val="16"/>
              </w:rPr>
              <w:t xml:space="preserve"> 48 (</w:t>
            </w:r>
            <w:r w:rsidR="00496B7A" w:rsidRPr="003A6D67">
              <w:rPr>
                <w:rFonts w:eastAsia="Times New Roman"/>
                <w:color w:val="000000"/>
                <w:sz w:val="16"/>
                <w:szCs w:val="16"/>
              </w:rPr>
              <w:t>RNU48</w:t>
            </w:r>
            <w:r w:rsidR="00EA27C5"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C2500A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85728A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87E8FB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866 miRNA microarray platform/ 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Geniom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Biochip </w:t>
            </w:r>
          </w:p>
        </w:tc>
      </w:tr>
      <w:tr w:rsidR="00496B7A" w:rsidRPr="00CC366A" w14:paraId="200E5A1B" w14:textId="77777777" w:rsidTr="00D27A21">
        <w:trPr>
          <w:trHeight w:val="2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7FBBB80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F54E521" w14:textId="6B282285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16 miRNA signature inc</w:t>
            </w:r>
            <w:r w:rsidR="003A6D67" w:rsidRPr="003A6D67">
              <w:rPr>
                <w:rFonts w:eastAsia="Times New Roman"/>
                <w:color w:val="000000"/>
                <w:sz w:val="16"/>
                <w:szCs w:val="16"/>
              </w:rPr>
              <w:t>luding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>: miR-186, let-7d, miR-18a, miR-145, miR-99a, miR-664, miR-501-5p, miR-378, miR-1280, miR-365, miR-1249, miR-328, miR-422a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6E715B3" w14:textId="606FFE10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16 miRNA signature inc</w:t>
            </w:r>
            <w:r w:rsidR="00EB58C1">
              <w:rPr>
                <w:rFonts w:eastAsia="Times New Roman"/>
                <w:color w:val="000000"/>
                <w:sz w:val="16"/>
                <w:szCs w:val="16"/>
              </w:rPr>
              <w:t>luding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: miR-17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A3877D4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Blood cells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359C6FA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Stages II (1),  III (2), IV (7), V (1); healthy (20)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63318D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14C0C61" w14:textId="4D6C14F8" w:rsidR="00496B7A" w:rsidRPr="003A6D67" w:rsidRDefault="003A6D67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D83A1C8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kit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DE24681" w14:textId="668FAAAF" w:rsidR="00496B7A" w:rsidRPr="003A6D67" w:rsidRDefault="00EA27C5" w:rsidP="003A6D67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</w:rPr>
              <w:t>s</w:t>
            </w:r>
            <w:r w:rsidRPr="002158D1">
              <w:rPr>
                <w:rFonts w:ascii="Palatino Linotype" w:hAnsi="Palatino Linotype" w:cs="Arial"/>
                <w:sz w:val="16"/>
                <w:szCs w:val="16"/>
              </w:rPr>
              <w:t>mall nucleolar RNA</w:t>
            </w:r>
            <w:r>
              <w:rPr>
                <w:rFonts w:ascii="Palatino Linotype" w:hAnsi="Palatino Linotype" w:cs="Arial"/>
                <w:sz w:val="16"/>
                <w:szCs w:val="16"/>
              </w:rPr>
              <w:t xml:space="preserve"> 48 (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>RNU48</w:t>
            </w:r>
            <w:r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CB79C54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TaqMan qRT-PCR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AF517B6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79B68BF" w14:textId="5F9760BD" w:rsidR="00496B7A" w:rsidRPr="003A6D67" w:rsidRDefault="006B5592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</w:tr>
      <w:tr w:rsidR="00496B7A" w:rsidRPr="00CC366A" w14:paraId="04B4533A" w14:textId="77777777" w:rsidTr="00D27A21">
        <w:trPr>
          <w:trHeight w:val="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1A374E1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6C7C8FC" w14:textId="0BDAA0FA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Cs/>
                <w:color w:val="000000"/>
                <w:sz w:val="16"/>
                <w:szCs w:val="16"/>
              </w:rPr>
              <w:t>MEL38</w:t>
            </w: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: </w:t>
            </w:r>
            <w:r w:rsidRPr="003A6D67">
              <w:rPr>
                <w:rFonts w:eastAsia="Times New Roman"/>
                <w:bCs/>
                <w:color w:val="000000"/>
                <w:sz w:val="16"/>
                <w:szCs w:val="16"/>
              </w:rPr>
              <w:t>19 miRNAs</w:t>
            </w: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63D08" w:rsidRPr="003A6D67">
              <w:rPr>
                <w:rFonts w:eastAsia="Times New Roman"/>
                <w:color w:val="000000"/>
                <w:sz w:val="16"/>
                <w:szCs w:val="16"/>
              </w:rPr>
              <w:t>(i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ncluding </w:t>
            </w: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miR-301a-3p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</w:t>
            </w:r>
            <w:r w:rsidRPr="003A6D67">
              <w:rPr>
                <w:rFonts w:eastAsia="Times New Roman"/>
                <w:b/>
                <w:bCs/>
                <w:color w:val="00B050"/>
                <w:sz w:val="16"/>
                <w:szCs w:val="16"/>
              </w:rPr>
              <w:t>miR-424-5p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</w:t>
            </w: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miR-27a-3p</w:t>
            </w:r>
            <w:r w:rsidRPr="003A6D67">
              <w:rPr>
                <w:rFonts w:eastAsia="Times New Roman"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9763EF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MEL38: </w:t>
            </w:r>
            <w:r w:rsidRPr="003A6D67">
              <w:rPr>
                <w:rFonts w:eastAsia="Times New Roman"/>
                <w:bCs/>
                <w:color w:val="000000"/>
                <w:sz w:val="16"/>
                <w:szCs w:val="16"/>
              </w:rPr>
              <w:t>19 miRNAs</w:t>
            </w: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A6D67">
              <w:rPr>
                <w:rFonts w:eastAsia="Times New Roman"/>
                <w:bCs/>
                <w:color w:val="000000"/>
                <w:sz w:val="16"/>
                <w:szCs w:val="16"/>
              </w:rPr>
              <w:t>(including</w:t>
            </w: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miR-205-5p</w:t>
            </w:r>
            <w:r w:rsidRPr="003A6D67">
              <w:rPr>
                <w:rFonts w:eastAsia="Times New Roman"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85983C2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Plasma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D208C0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Stages I (4), II (18), III (4) and IV (4)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4A7FD18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BA56FF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4C42B72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Serum/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Plasmakit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4C38569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 xml:space="preserve"> cel-miR-254</w:t>
            </w:r>
            <w:r w:rsidRPr="003A6D67">
              <w:rPr>
                <w:rFonts w:eastAsia="Times New Roman"/>
                <w:color w:val="4472C4" w:themeColor="accent1"/>
                <w:sz w:val="16"/>
                <w:szCs w:val="16"/>
              </w:rPr>
              <w:t xml:space="preserve"> 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and </w:t>
            </w: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osa-miR-414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BE1F48C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66F6BCF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B87D2F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multiplexed 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nCounter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microRNA Assay V3 </w:t>
            </w:r>
          </w:p>
        </w:tc>
      </w:tr>
      <w:tr w:rsidR="00496B7A" w:rsidRPr="00CC366A" w14:paraId="06DD2FB8" w14:textId="77777777" w:rsidTr="00D27A21">
        <w:trPr>
          <w:trHeight w:val="1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4E98C39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EB52A5E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13 miRNA including </w:t>
            </w:r>
            <w:r w:rsidRPr="003A6D67">
              <w:rPr>
                <w:rFonts w:eastAsia="Times New Roman"/>
                <w:b/>
                <w:color w:val="00B050"/>
                <w:sz w:val="16"/>
                <w:szCs w:val="16"/>
                <w:u w:val="single"/>
              </w:rPr>
              <w:t>miR-211-5p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72732CF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40 miRNA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5D52728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Serum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D4C225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Stages 0 (4), I (11), II (17), III (11), IV (9); healthy (30)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CCD4FC6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B7A2A4E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Incubation time 1 hr: 2000g, 15 min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8B5E832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Serum/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Plasmakit</w:t>
            </w:r>
            <w:proofErr w:type="spellEnd"/>
          </w:p>
        </w:tc>
        <w:tc>
          <w:tcPr>
            <w:tcW w:w="1704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auto"/>
            </w:tcBorders>
            <w:shd w:val="clear" w:color="000000" w:fill="DDEBF7"/>
            <w:vAlign w:val="center"/>
          </w:tcPr>
          <w:p w14:paraId="7599BBA6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cel-miR-39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</w:t>
            </w: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cel-miR-54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</w:t>
            </w: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cel-miR-238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>;</w:t>
            </w:r>
            <w:r w:rsidRPr="003A6D67">
              <w:rPr>
                <w:sz w:val="16"/>
                <w:szCs w:val="16"/>
                <w:lang w:val="en"/>
              </w:rPr>
              <w:t xml:space="preserve"> Global mean normalisation and RefFinder (5 miRNAs)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5C0C85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miScript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FD18C6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miScript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 /1066 miRNA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br/>
              <w:t xml:space="preserve">qPCR array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5039E4F" w14:textId="0A67C1D9" w:rsidR="00496B7A" w:rsidRPr="003A6D67" w:rsidRDefault="006B5592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</w:tr>
      <w:tr w:rsidR="00496B7A" w:rsidRPr="00CC366A" w14:paraId="3C56A7CF" w14:textId="77777777" w:rsidTr="00D27A21">
        <w:trPr>
          <w:trHeight w:val="12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E7C5259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2701C7D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miR-193b-3p, miR-720, </w:t>
            </w: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miR-205-5p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miR-126-5p, </w:t>
            </w:r>
            <w:r w:rsidRPr="003A6D67">
              <w:rPr>
                <w:rFonts w:eastAsia="Times New Roman"/>
                <w:b/>
                <w:bCs/>
                <w:color w:val="00B050"/>
                <w:sz w:val="16"/>
                <w:szCs w:val="16"/>
                <w:u w:val="single"/>
              </w:rPr>
              <w:t>miR-211-5p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</w:t>
            </w: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miR-206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>, miR-550a-3p, miR-627-5p, miR-629-5p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201C08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miR-204- 5p, miR-182-5p, </w:t>
            </w: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miR-301a-3p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miR-200c-3p, miR-28-5p, </w:t>
            </w: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miR-27a-3p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>, miR-197-3p, miR-374a-5p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842C737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Serum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4E16537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Stages 0 (4), I (11), II (17), III (11), IV (9); healthy (30)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5F4DFD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E3B6A4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Incubation time 1 hr: 2000g, 15 min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868403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Serum/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Plasmakit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27365F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cel-miR-39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</w:t>
            </w: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cel-miR-54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</w:t>
            </w: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cel-miR-238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>;</w:t>
            </w:r>
            <w:r w:rsidRPr="003A6D67">
              <w:rPr>
                <w:sz w:val="16"/>
                <w:szCs w:val="16"/>
                <w:lang w:val="en"/>
              </w:rPr>
              <w:t xml:space="preserve"> Global mean normalisation and RefFinder (5 miRNAs)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01B066D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miScript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D253D9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miScript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AE773EA" w14:textId="77E5C58B" w:rsidR="00496B7A" w:rsidRPr="003A6D67" w:rsidRDefault="006B5592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</w:tr>
      <w:tr w:rsidR="00496B7A" w:rsidRPr="00CC366A" w14:paraId="39FA1BF0" w14:textId="77777777" w:rsidTr="00D27A21">
        <w:trPr>
          <w:trHeight w:val="79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37074D5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C3EF7E7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miR-15b-5p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, miR-149-3p, and </w:t>
            </w:r>
            <w:r w:rsidRPr="003A6D67">
              <w:rPr>
                <w:rFonts w:eastAsia="Times New Roman"/>
                <w:b/>
                <w:bCs/>
                <w:color w:val="00B050"/>
                <w:sz w:val="16"/>
                <w:szCs w:val="16"/>
              </w:rPr>
              <w:t>miR-150-5p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6B941AB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miR-193a-3p and miR-524-5p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C191490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Plasma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936B12D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Stage I-II (10), III (10), IV (10); healthy (32)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237F585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7D2D7FD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1900g, 10 min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EB4FB98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Serum/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Plasmakit</w:t>
            </w:r>
            <w:proofErr w:type="spell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024EBA2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Global mean normalization and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br/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NormFinder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370719B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miRCURY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BC31349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miRCURY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5C7B866" w14:textId="3E18664F" w:rsidR="00496B7A" w:rsidRPr="003A6D67" w:rsidRDefault="006B5592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</w:tr>
      <w:tr w:rsidR="00496B7A" w:rsidRPr="00CC366A" w14:paraId="21521450" w14:textId="77777777" w:rsidTr="00496B7A">
        <w:trPr>
          <w:trHeight w:val="8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4D11DEAA" w14:textId="10BEAEC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lastRenderedPageBreak/>
              <w:t>Reference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7E43CD60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miRNA </w:t>
            </w:r>
          </w:p>
          <w:p w14:paraId="41980CC7" w14:textId="0A2AC7DA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up-regulated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26419FEF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miRNA </w:t>
            </w:r>
          </w:p>
          <w:p w14:paraId="012F1327" w14:textId="3EA14DF8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down-regulated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05FE5F04" w14:textId="4D38FB22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Sample type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0A8FD780" w14:textId="1E07319A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Sample distribution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4B4B0D91" w14:textId="1506AA2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Samples checked for Haemolysis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195459DD" w14:textId="3BBA5F6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Plasma/ serum preparation protocol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54082556" w14:textId="77EAC5F6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RNA Extraction kit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578D3AF8" w14:textId="04B95C84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Normalisation method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601C170E" w14:textId="561EE80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30AD618F" w14:textId="7AB83798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qPCR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 w:themeFill="background2"/>
            <w:vAlign w:val="center"/>
          </w:tcPr>
          <w:p w14:paraId="06846CE4" w14:textId="0839C75F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Other detection method</w:t>
            </w:r>
          </w:p>
        </w:tc>
      </w:tr>
      <w:tr w:rsidR="00496B7A" w:rsidRPr="00CC366A" w14:paraId="35DCD04C" w14:textId="77777777" w:rsidTr="00D27A21">
        <w:trPr>
          <w:trHeight w:val="11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0E9BD5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7D0576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12 dysregulated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47337D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12 dysregulated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8F4862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Serum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D8A8C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Stage IV males (7); healthy males (4)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CE9CB9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5F5049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97BA4A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kit 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D28472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NormFinder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geNorm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(miR-320a)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2FE1E7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miRCURY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FA489C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miRCURY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C085E1" w14:textId="7CDD5839" w:rsidR="00496B7A" w:rsidRPr="003A6D67" w:rsidRDefault="006B5592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</w:tr>
      <w:tr w:rsidR="00496B7A" w:rsidRPr="00CC366A" w14:paraId="6676B24F" w14:textId="77777777" w:rsidTr="00D27A21">
        <w:trPr>
          <w:trHeight w:val="79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32FB8FD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8D8C9C2" w14:textId="78840507" w:rsidR="00496B7A" w:rsidRPr="003A6D67" w:rsidRDefault="003A6D67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FC0D716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miR-29c-5p and </w:t>
            </w:r>
            <w:r w:rsidRPr="003A6D67">
              <w:rPr>
                <w:rFonts w:eastAsia="Times New Roman"/>
                <w:b/>
                <w:bCs/>
                <w:color w:val="00B050"/>
                <w:sz w:val="16"/>
                <w:szCs w:val="16"/>
              </w:rPr>
              <w:t xml:space="preserve">miR-324-3p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24086F5D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Serum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2A50CBD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Stage IV males and females (28); healthy males and females (10)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0E69337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8AA75D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E771F7A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kit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AFF86E0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NormFinder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geNorm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(miR-320a)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7E62D7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miRCURY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46A41D0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miRCURY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qRT-PCR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B6B8267" w14:textId="3E94A996" w:rsidR="00496B7A" w:rsidRPr="003A6D67" w:rsidRDefault="006B5592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</w:tr>
      <w:tr w:rsidR="00496B7A" w:rsidRPr="00CC366A" w14:paraId="28786779" w14:textId="77777777" w:rsidTr="00D27A21">
        <w:trPr>
          <w:trHeight w:val="10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72A37B81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04C5F8E8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miR-16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and </w:t>
            </w:r>
            <w:r w:rsidRPr="003A6D67">
              <w:rPr>
                <w:rFonts w:eastAsia="Times New Roman"/>
                <w:b/>
                <w:bCs/>
                <w:color w:val="00B050"/>
                <w:sz w:val="16"/>
                <w:szCs w:val="16"/>
                <w:u w:val="single"/>
              </w:rPr>
              <w:t>miR-211</w:t>
            </w:r>
            <w:r w:rsidRPr="003A6D67">
              <w:rPr>
                <w:rFonts w:eastAsia="Times New Roman"/>
                <w:b/>
                <w:bCs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39EA8545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miR-4487, miR-4706, miR-4731, miR-509-3p, miR-509-5p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75076940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Serum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385DBD81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Stages I/II (86), III (50), IV ( 119); healthy (102), healthy high nevus count (12), 16 history of melanoma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7F3BBE1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31F7D24B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1500g, 10 min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0B4B5699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FFPE kit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6445ECC5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color w:val="4472C4" w:themeColor="accent1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cel-miR-39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>; Median normalisation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69991C74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31E574A5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</w:tcPr>
          <w:p w14:paraId="4AB8A400" w14:textId="2FDC23F1" w:rsidR="00496B7A" w:rsidRPr="003A6D67" w:rsidRDefault="006B5592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</w:tr>
      <w:tr w:rsidR="00496B7A" w:rsidRPr="00CC366A" w14:paraId="300B6274" w14:textId="77777777" w:rsidTr="00D27A21">
        <w:trPr>
          <w:trHeight w:val="10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35085A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D8E383D" w14:textId="3629DF28" w:rsidR="00496B7A" w:rsidRPr="003A6D67" w:rsidRDefault="003A6D67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106A4E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miR-125b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CB0CC7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Serum and serum exosomes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B5EAFC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Advanced melanoma (21: 71% with metastases), 16 disease-free, 19 healthy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04A454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21221A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ExoQuick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precipitation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261563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kit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0F5DEB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miR-16; </w:t>
            </w:r>
            <w:proofErr w:type="spellStart"/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cel</w:t>
            </w:r>
            <w:proofErr w:type="spellEnd"/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>–miR-54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92C9E0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57777B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8F931C" w14:textId="734751A6" w:rsidR="00496B7A" w:rsidRPr="003A6D67" w:rsidRDefault="006B5592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</w:tr>
      <w:tr w:rsidR="00496B7A" w:rsidRPr="00CC366A" w14:paraId="67F00C2B" w14:textId="77777777" w:rsidTr="00D27A21">
        <w:trPr>
          <w:trHeight w:val="80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FCCC858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E2EA765" w14:textId="77777777" w:rsidR="00496B7A" w:rsidRPr="003A6D67" w:rsidRDefault="00496B7A" w:rsidP="00D27A21">
            <w:pPr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miR-20a, a </w:t>
            </w: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of the 17–92 complex, and </w:t>
            </w:r>
            <w:r w:rsidRPr="003A6D67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miR-125b</w:t>
            </w:r>
            <w:r w:rsidRPr="003A6D67">
              <w:rPr>
                <w:rFonts w:eastAsia="Times New Roman"/>
                <w:color w:val="000000"/>
                <w:sz w:val="16"/>
                <w:szCs w:val="16"/>
              </w:rPr>
              <w:t>, miR-146a, miR-155, miR-181a, and miR-223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ED895D9" w14:textId="0B75E07E" w:rsidR="00496B7A" w:rsidRPr="003A6D67" w:rsidRDefault="003A6D67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5F97C99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Plasma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F2DE076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Uveal melanoma (6), healthy donors (26)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E08D168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5641A6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Not specified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F213FFE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spellStart"/>
            <w:r w:rsidRPr="003A6D67">
              <w:rPr>
                <w:rFonts w:eastAsia="Times New Roman"/>
                <w:color w:val="000000"/>
                <w:sz w:val="16"/>
                <w:szCs w:val="16"/>
              </w:rPr>
              <w:t>miRNeasy</w:t>
            </w:r>
            <w:proofErr w:type="spellEnd"/>
            <w:r w:rsidRPr="003A6D67">
              <w:rPr>
                <w:rFonts w:eastAsia="Times New Roman"/>
                <w:color w:val="000000"/>
                <w:sz w:val="16"/>
                <w:szCs w:val="16"/>
              </w:rPr>
              <w:t xml:space="preserve"> kit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9A0C013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b/>
                <w:color w:val="4472C4" w:themeColor="accent1"/>
                <w:sz w:val="16"/>
                <w:szCs w:val="16"/>
              </w:rPr>
              <w:t xml:space="preserve">cel-miR-39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6F579B7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24B08AC" w14:textId="77777777" w:rsidR="00496B7A" w:rsidRPr="003A6D67" w:rsidRDefault="00496B7A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3A6D67">
              <w:rPr>
                <w:rFonts w:eastAsia="Times New Roman"/>
                <w:color w:val="000000"/>
                <w:sz w:val="16"/>
                <w:szCs w:val="16"/>
              </w:rPr>
              <w:t>TaqMan qRT-PCR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39861E2" w14:textId="2F672BFA" w:rsidR="00496B7A" w:rsidRPr="003A6D67" w:rsidRDefault="006B5592" w:rsidP="00D27A2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Not applicable</w:t>
            </w:r>
            <w:bookmarkStart w:id="0" w:name="_GoBack"/>
            <w:bookmarkEnd w:id="0"/>
          </w:p>
        </w:tc>
      </w:tr>
    </w:tbl>
    <w:p w14:paraId="44A4BF0B" w14:textId="77777777" w:rsidR="00496B7A" w:rsidRDefault="00496B7A" w:rsidP="00375822">
      <w:pPr>
        <w:jc w:val="both"/>
        <w:rPr>
          <w:rFonts w:eastAsia="Times New Roman" w:cstheme="minorHAnsi"/>
          <w:color w:val="000000"/>
          <w:sz w:val="22"/>
          <w:szCs w:val="22"/>
        </w:rPr>
      </w:pPr>
    </w:p>
    <w:sectPr w:rsidR="00496B7A" w:rsidSect="006B1379">
      <w:pgSz w:w="1682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79"/>
    <w:rsid w:val="000C6A14"/>
    <w:rsid w:val="000F432D"/>
    <w:rsid w:val="00163D08"/>
    <w:rsid w:val="0018206C"/>
    <w:rsid w:val="00264E76"/>
    <w:rsid w:val="002D61F4"/>
    <w:rsid w:val="00375822"/>
    <w:rsid w:val="003869B2"/>
    <w:rsid w:val="003A6D67"/>
    <w:rsid w:val="003C35FC"/>
    <w:rsid w:val="00496B7A"/>
    <w:rsid w:val="004B7713"/>
    <w:rsid w:val="005022DF"/>
    <w:rsid w:val="00512D55"/>
    <w:rsid w:val="00561711"/>
    <w:rsid w:val="005769D9"/>
    <w:rsid w:val="005855E5"/>
    <w:rsid w:val="005C6E89"/>
    <w:rsid w:val="005D1AFE"/>
    <w:rsid w:val="005F061D"/>
    <w:rsid w:val="006368A5"/>
    <w:rsid w:val="00666E50"/>
    <w:rsid w:val="00671BB6"/>
    <w:rsid w:val="006A4104"/>
    <w:rsid w:val="006A47D7"/>
    <w:rsid w:val="006B1379"/>
    <w:rsid w:val="006B543C"/>
    <w:rsid w:val="006B5592"/>
    <w:rsid w:val="006C1A69"/>
    <w:rsid w:val="007118BF"/>
    <w:rsid w:val="007241CD"/>
    <w:rsid w:val="00726596"/>
    <w:rsid w:val="00732006"/>
    <w:rsid w:val="0074343B"/>
    <w:rsid w:val="007507AE"/>
    <w:rsid w:val="007C424A"/>
    <w:rsid w:val="00887E91"/>
    <w:rsid w:val="008E2129"/>
    <w:rsid w:val="008F635E"/>
    <w:rsid w:val="009037E4"/>
    <w:rsid w:val="00903FE5"/>
    <w:rsid w:val="00912473"/>
    <w:rsid w:val="009D7E29"/>
    <w:rsid w:val="009F116B"/>
    <w:rsid w:val="009F55F5"/>
    <w:rsid w:val="00A52FD5"/>
    <w:rsid w:val="00A626C3"/>
    <w:rsid w:val="00A62C3C"/>
    <w:rsid w:val="00A63FBB"/>
    <w:rsid w:val="00AF171E"/>
    <w:rsid w:val="00B57F32"/>
    <w:rsid w:val="00B76C92"/>
    <w:rsid w:val="00BD53FE"/>
    <w:rsid w:val="00C2122F"/>
    <w:rsid w:val="00C31794"/>
    <w:rsid w:val="00CB748E"/>
    <w:rsid w:val="00CC188D"/>
    <w:rsid w:val="00CC366A"/>
    <w:rsid w:val="00CC73FF"/>
    <w:rsid w:val="00D332BC"/>
    <w:rsid w:val="00DD50BE"/>
    <w:rsid w:val="00DF4E14"/>
    <w:rsid w:val="00E1173B"/>
    <w:rsid w:val="00E82860"/>
    <w:rsid w:val="00EA27C5"/>
    <w:rsid w:val="00EB58C1"/>
    <w:rsid w:val="00ED0947"/>
    <w:rsid w:val="00F0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A13A0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5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5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Mumford</dc:creator>
  <cp:lastModifiedBy>Benjamin Towler</cp:lastModifiedBy>
  <cp:revision>3</cp:revision>
  <dcterms:created xsi:type="dcterms:W3CDTF">2018-04-25T09:28:00Z</dcterms:created>
  <dcterms:modified xsi:type="dcterms:W3CDTF">2018-04-25T10:37:00Z</dcterms:modified>
</cp:coreProperties>
</file>