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9B1" w:rsidRDefault="003549B1" w:rsidP="003549B1">
      <w:pPr>
        <w:pStyle w:val="MDPI41tablecaption"/>
        <w:rPr>
          <w:color w:val="auto"/>
        </w:rPr>
      </w:pPr>
      <w:r>
        <w:rPr>
          <w:color w:val="auto"/>
        </w:rPr>
        <w:t>Spatial-temporal Bayesian model estimates of alcohol-related calls-for-service controlled for neighborhood-level covariates</w:t>
      </w:r>
    </w:p>
    <w:p w:rsidR="003549B1" w:rsidRDefault="003549B1" w:rsidP="003549B1">
      <w:pPr>
        <w:pStyle w:val="MDPI41tablecaption"/>
        <w:rPr>
          <w:color w:val="auto"/>
        </w:rPr>
      </w:pPr>
    </w:p>
    <w:tbl>
      <w:tblPr>
        <w:tblStyle w:val="Tablaconcuadrcula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1843"/>
        <w:gridCol w:w="2268"/>
      </w:tblGrid>
      <w:tr w:rsidR="003549B1" w:rsidTr="003549B1">
        <w:trPr>
          <w:trHeight w:val="269"/>
          <w:jc w:val="center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Variable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Mean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SD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 xml:space="preserve">95% </w:t>
            </w:r>
            <w:proofErr w:type="spellStart"/>
            <w:r>
              <w:rPr>
                <w:b/>
                <w:color w:val="auto"/>
                <w:szCs w:val="18"/>
              </w:rPr>
              <w:t>CrI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b/>
                <w:color w:val="auto"/>
                <w:szCs w:val="18"/>
              </w:rPr>
            </w:pPr>
            <w:r>
              <w:rPr>
                <w:b/>
                <w:color w:val="auto"/>
                <w:szCs w:val="18"/>
              </w:rPr>
              <w:t>Odds ratio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Intercept (</w:t>
            </w:r>
            <m:oMath>
              <m:r>
                <w:rPr>
                  <w:rFonts w:ascii="Cambria Math" w:hAnsi="Cambria Math"/>
                  <w:color w:val="auto"/>
                  <w:szCs w:val="18"/>
                </w:rPr>
                <m:t>μ</m:t>
              </m:r>
            </m:oMath>
            <w:r>
              <w:rPr>
                <w:color w:val="auto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0.461 *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0.110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  <w:lang w:val="en-GB"/>
              </w:rPr>
              <w:t>(0.242, 0.672)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Off-premise density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-0.008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0.016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(-0.023, 0.040)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0.992 (0.941, 1.029)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Restaurants-cafe density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-0.036 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0.003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(-0.041, -0.031)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0.965 (0.960, 0.970)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Bars density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</w:rPr>
              <w:t xml:space="preserve">0.010 *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</w:rPr>
              <w:t xml:space="preserve">0.009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(-0.008, 0.026)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1.010 (0.992, 1.023)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0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  <w:szCs w:val="18"/>
              </w:rPr>
              <w:t>Economic status</w:t>
            </w:r>
            <w:r w:rsidRPr="004C22E6">
              <w:rPr>
                <w:color w:val="auto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0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</w:rPr>
              <w:t xml:space="preserve">-0.002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0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</w:rPr>
              <w:t xml:space="preserve">0.002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0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 w:rsidRPr="004C22E6">
              <w:rPr>
                <w:color w:val="auto"/>
                <w:szCs w:val="18"/>
                <w:lang w:val="en-GB"/>
              </w:rPr>
              <w:t>(-0.005, 0.002)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 w:rsidRPr="004C22E6">
              <w:rPr>
                <w:snapToGrid w:val="0"/>
                <w:color w:val="auto"/>
                <w:szCs w:val="18"/>
                <w:lang w:val="en-GB"/>
              </w:rPr>
              <w:t>0.998 (0.995, 1.002)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  <w:szCs w:val="18"/>
              </w:rPr>
              <w:t>Economic spatial lag</w:t>
            </w:r>
            <w:r w:rsidRPr="004C22E6">
              <w:rPr>
                <w:color w:val="auto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</w:rPr>
            </w:pPr>
            <w:r w:rsidRPr="004C22E6">
              <w:rPr>
                <w:color w:val="auto"/>
              </w:rPr>
              <w:t xml:space="preserve">0.027*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spacing w:before="100" w:beforeAutospacing="1" w:after="100" w:afterAutospacing="1"/>
              <w:contextualSpacing/>
              <w:rPr>
                <w:rFonts w:ascii="Palatino Linotype" w:eastAsia="Times New Roman" w:hAnsi="Palatino Linotype"/>
                <w:sz w:val="18"/>
                <w:szCs w:val="22"/>
                <w:lang w:eastAsia="de-DE" w:bidi="en-US"/>
              </w:rPr>
            </w:pPr>
            <w:r w:rsidRPr="004C22E6">
              <w:rPr>
                <w:rFonts w:ascii="Palatino Linotype" w:eastAsia="Times New Roman" w:hAnsi="Palatino Linotype"/>
                <w:sz w:val="18"/>
                <w:lang w:eastAsia="de-DE" w:bidi="en-US"/>
              </w:rPr>
              <w:t xml:space="preserve">0.004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spacing w:before="100" w:beforeAutospacing="1" w:after="100" w:afterAutospacing="1"/>
              <w:contextualSpacing/>
              <w:rPr>
                <w:rFonts w:ascii="Palatino Linotype" w:eastAsia="Times New Roman" w:hAnsi="Palatino Linotype"/>
                <w:sz w:val="18"/>
                <w:szCs w:val="18"/>
                <w:lang w:val="en-GB" w:eastAsia="de-DE" w:bidi="en-US"/>
              </w:rPr>
            </w:pPr>
            <w:r w:rsidRPr="004C22E6">
              <w:rPr>
                <w:rFonts w:ascii="Palatino Linotype" w:eastAsia="Times New Roman" w:hAnsi="Palatino Linotype"/>
                <w:sz w:val="18"/>
                <w:szCs w:val="18"/>
                <w:lang w:val="en-GB" w:eastAsia="de-DE" w:bidi="en-US"/>
              </w:rPr>
              <w:t>(0.005, 0.036)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 w:rsidRPr="004C22E6">
              <w:rPr>
                <w:snapToGrid w:val="0"/>
                <w:color w:val="auto"/>
                <w:szCs w:val="18"/>
                <w:lang w:val="en-GB"/>
              </w:rPr>
              <w:t>1.027 (1.005, 1.037)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  <w:szCs w:val="18"/>
              </w:rPr>
              <w:t>Immigrant concentration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</w:rPr>
              <w:t xml:space="preserve">-0.012*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</w:rPr>
              <w:t xml:space="preserve">0.003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  <w:szCs w:val="18"/>
                <w:lang w:val="en-GB"/>
              </w:rPr>
              <w:t>(-0.018, -0.006)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 w:rsidRPr="004C22E6">
              <w:rPr>
                <w:snapToGrid w:val="0"/>
                <w:color w:val="auto"/>
                <w:szCs w:val="18"/>
                <w:lang w:val="en-GB"/>
              </w:rPr>
              <w:t>0.988 (0.982, 0.994)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 w:rsidRPr="004C22E6">
              <w:rPr>
                <w:color w:val="auto"/>
                <w:szCs w:val="18"/>
              </w:rPr>
              <w:t>Residential instability</w:t>
            </w:r>
            <w:r w:rsidR="003D4200" w:rsidRPr="004C22E6">
              <w:rPr>
                <w:color w:val="auto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 w:rsidP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</w:rPr>
              <w:t>0.00</w:t>
            </w:r>
            <w:r w:rsidR="004C22E6">
              <w:rPr>
                <w:color w:val="auto"/>
              </w:rPr>
              <w:t>1</w:t>
            </w:r>
            <w:r w:rsidRPr="004C22E6">
              <w:rPr>
                <w:color w:val="auto"/>
              </w:rPr>
              <w:t xml:space="preserve">* </w:t>
            </w:r>
            <w:bookmarkStart w:id="0" w:name="_GoBack"/>
            <w:bookmarkEnd w:id="0"/>
            <w:r w:rsidRPr="004C22E6">
              <w:rPr>
                <w:color w:val="auto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</w:rPr>
              <w:t xml:space="preserve">0.0002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 w:rsidRPr="004C22E6">
              <w:rPr>
                <w:color w:val="auto"/>
                <w:szCs w:val="18"/>
                <w:lang w:val="en-GB"/>
              </w:rPr>
              <w:t>(0.0004, 0.0015)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Pr="004C22E6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 w:rsidRPr="004C22E6">
              <w:rPr>
                <w:snapToGrid w:val="0"/>
                <w:color w:val="auto"/>
                <w:szCs w:val="18"/>
                <w:lang w:val="en-GB"/>
              </w:rPr>
              <w:t>1.001 (1.000, 1.002)</w:t>
            </w:r>
          </w:p>
        </w:tc>
      </w:tr>
      <w:tr w:rsidR="004C22E6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22E6" w:rsidRPr="004C22E6" w:rsidRDefault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Population density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22E6" w:rsidRPr="004C22E6" w:rsidRDefault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</w:rPr>
            </w:pPr>
            <w:r>
              <w:rPr>
                <w:color w:val="auto"/>
              </w:rPr>
              <w:t>0.001*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22E6" w:rsidRPr="004C22E6" w:rsidRDefault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</w:rPr>
            </w:pPr>
            <w:r>
              <w:rPr>
                <w:color w:val="auto"/>
              </w:rPr>
              <w:t>0.001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C22E6" w:rsidRPr="004C22E6" w:rsidRDefault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  <w:lang w:val="en-GB"/>
              </w:rPr>
              <w:t>(-0.000, 0.002)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2E6" w:rsidRPr="004C22E6" w:rsidRDefault="004C22E6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1.001 (1.000, 1.002)</w:t>
            </w: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  <w:lang w:val="en-GB"/>
              </w:rPr>
              <w:t>Spatial structure (</w:t>
            </w:r>
            <m:oMath>
              <m:sSub>
                <m:sSubPr>
                  <m:ctrlPr>
                    <w:rPr>
                      <w:rFonts w:ascii="Cambria Math" w:hAnsi="Cambria Math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Cs w:val="18"/>
                      <w:lang w:val="en-GB"/>
                    </w:rPr>
                    <m:t>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Cs w:val="18"/>
                      <w:lang w:val="en-GB"/>
                    </w:rPr>
                    <m:t>φ</m:t>
                  </m:r>
                </m:sub>
              </m:sSub>
            </m:oMath>
            <w:r>
              <w:rPr>
                <w:color w:val="auto"/>
                <w:szCs w:val="18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1.281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0.372 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(0.750, 2.040)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spacing w:before="100" w:beforeAutospacing="1" w:after="100" w:afterAutospacing="1" w:line="240" w:lineRule="auto"/>
              <w:contextualSpacing/>
              <w:rPr>
                <w:rFonts w:ascii="Palatino Linotype" w:eastAsiaTheme="minorHAnsi" w:hAnsi="Palatino Linotype"/>
                <w:sz w:val="18"/>
                <w:szCs w:val="18"/>
                <w:lang w:val="en-GB" w:eastAsia="en-US"/>
              </w:rPr>
            </w:pPr>
            <w:r>
              <w:rPr>
                <w:rFonts w:ascii="Palatino Linotype" w:eastAsia="Times New Roman" w:hAnsi="Palatino Linotype"/>
                <w:snapToGrid w:val="0"/>
                <w:sz w:val="18"/>
                <w:szCs w:val="18"/>
                <w:lang w:val="en-GB" w:eastAsia="de-DE" w:bidi="en-US"/>
              </w:rPr>
              <w:t xml:space="preserve">Year </w:t>
            </w:r>
            <w:r>
              <w:rPr>
                <w:rFonts w:ascii="Palatino Linotype" w:hAnsi="Palatino Linotype"/>
                <w:sz w:val="18"/>
                <w:szCs w:val="18"/>
                <w:lang w:val="en-GB"/>
              </w:rPr>
              <w:t>(</w:t>
            </w:r>
            <m:oMath>
              <m:r>
                <w:rPr>
                  <w:rFonts w:ascii="Cambria Math" w:hAnsi="Cambria Math"/>
                  <w:sz w:val="18"/>
                  <w:szCs w:val="18"/>
                  <w:lang w:val="en-GB"/>
                </w:rPr>
                <m:t>γ</m:t>
              </m:r>
            </m:oMath>
            <w:r>
              <w:rPr>
                <w:rFonts w:ascii="Palatino Linotype" w:hAnsi="Palatino Linotype"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>-0.025 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0.007 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(-0.038, -0.013)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</w:p>
        </w:tc>
      </w:tr>
      <w:tr w:rsidR="003549B1" w:rsidTr="003549B1">
        <w:trPr>
          <w:trHeight w:val="274"/>
          <w:jc w:val="center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  <w:lang w:val="en-GB"/>
              </w:rPr>
            </w:pPr>
            <w:r>
              <w:rPr>
                <w:color w:val="auto"/>
                <w:szCs w:val="18"/>
                <w:lang w:val="en-GB"/>
              </w:rPr>
              <w:t>Spatial x Year (</w:t>
            </w:r>
            <m:oMath>
              <m:sSub>
                <m:sSubPr>
                  <m:ctrlPr>
                    <w:rPr>
                      <w:rFonts w:ascii="Cambria Math" w:hAnsi="Cambria Math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Cs w:val="18"/>
                      <w:lang w:val="en-GB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color w:val="auto"/>
                      <w:szCs w:val="18"/>
                      <w:lang w:val="en-GB"/>
                    </w:rPr>
                    <m:t>δ</m:t>
                  </m:r>
                </m:sub>
              </m:sSub>
            </m:oMath>
            <w:r>
              <w:rPr>
                <w:color w:val="auto"/>
                <w:szCs w:val="18"/>
                <w:lang w:val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0.244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0.017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  <w:r>
              <w:rPr>
                <w:snapToGrid w:val="0"/>
                <w:color w:val="auto"/>
                <w:szCs w:val="18"/>
                <w:lang w:val="en-GB"/>
              </w:rPr>
              <w:t>(0.212, 0.278)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49B1" w:rsidRDefault="003549B1">
            <w:pPr>
              <w:pStyle w:val="MDPI41tablecaption"/>
              <w:spacing w:before="100" w:beforeAutospacing="1" w:after="100" w:afterAutospacing="1" w:line="240" w:lineRule="auto"/>
              <w:ind w:left="0" w:right="432"/>
              <w:jc w:val="left"/>
              <w:rPr>
                <w:snapToGrid w:val="0"/>
                <w:color w:val="auto"/>
                <w:szCs w:val="18"/>
                <w:lang w:val="en-GB"/>
              </w:rPr>
            </w:pPr>
          </w:p>
        </w:tc>
      </w:tr>
    </w:tbl>
    <w:p w:rsidR="003549B1" w:rsidRDefault="003549B1" w:rsidP="003549B1">
      <w:pPr>
        <w:pStyle w:val="MDPI43tablefooter"/>
        <w:spacing w:after="0"/>
        <w:jc w:val="center"/>
        <w:rPr>
          <w:color w:val="auto"/>
        </w:rPr>
      </w:pPr>
      <w:r>
        <w:rPr>
          <w:color w:val="auto"/>
        </w:rPr>
        <w:t xml:space="preserve">* Posterior probability of being over or under zero &gt; 0.80. </w:t>
      </w:r>
    </w:p>
    <w:p w:rsidR="003549B1" w:rsidRDefault="003549B1" w:rsidP="003549B1">
      <w:pPr>
        <w:pStyle w:val="MDPI43tablefooter"/>
        <w:spacing w:after="0"/>
        <w:jc w:val="center"/>
        <w:rPr>
          <w:color w:val="auto"/>
        </w:rPr>
      </w:pPr>
      <w:r>
        <w:rPr>
          <w:color w:val="auto"/>
          <w:vertAlign w:val="superscript"/>
        </w:rPr>
        <w:t>1</w:t>
      </w:r>
      <w:r>
        <w:rPr>
          <w:color w:val="auto"/>
        </w:rPr>
        <w:t xml:space="preserve"> This variable was included as the cadastral value divided by 1,000 to solve computational problems with the prior distributions assigned to fixed effects</w:t>
      </w:r>
    </w:p>
    <w:p w:rsidR="008050B7" w:rsidRDefault="003D4200"/>
    <w:sectPr w:rsidR="008050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B1"/>
    <w:rsid w:val="003549B1"/>
    <w:rsid w:val="003D4200"/>
    <w:rsid w:val="004C22E6"/>
    <w:rsid w:val="007607D9"/>
    <w:rsid w:val="00C20F9F"/>
    <w:rsid w:val="00E7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7AEAD-86B5-4475-B438-92A0AA4B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9B1"/>
    <w:pPr>
      <w:spacing w:after="160" w:line="25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3549B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3549B1"/>
    <w:pPr>
      <w:spacing w:before="0"/>
      <w:ind w:left="0" w:right="0"/>
    </w:pPr>
  </w:style>
  <w:style w:type="table" w:styleId="Tablaconcuadrcula">
    <w:name w:val="Table Grid"/>
    <w:basedOn w:val="Tablanormal"/>
    <w:uiPriority w:val="39"/>
    <w:rsid w:val="003549B1"/>
    <w:pPr>
      <w:spacing w:after="0" w:line="240" w:lineRule="auto"/>
    </w:pPr>
    <w:rPr>
      <w:rFonts w:ascii="Times New Roman" w:eastAsia="SimSun" w:hAnsi="Times New Roman" w:cs="Times New Roman"/>
      <w:kern w:val="2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5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49B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laudrup portatil</dc:creator>
  <cp:lastModifiedBy>Usuario</cp:lastModifiedBy>
  <cp:revision>4</cp:revision>
  <dcterms:created xsi:type="dcterms:W3CDTF">2017-11-14T22:16:00Z</dcterms:created>
  <dcterms:modified xsi:type="dcterms:W3CDTF">2017-11-15T12:49:00Z</dcterms:modified>
</cp:coreProperties>
</file>