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718EE" w14:textId="60061268" w:rsidR="00C66347" w:rsidRPr="00C66347" w:rsidRDefault="00C66347" w:rsidP="00CE2044">
      <w:pPr>
        <w:spacing w:after="0" w:line="240" w:lineRule="auto"/>
        <w:jc w:val="both"/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eastAsia="en-ZA"/>
        </w:rPr>
      </w:pPr>
      <w:r w:rsidRPr="00C66347">
        <w:rPr>
          <w:rFonts w:ascii="Palatino Linotype" w:eastAsia="Times New Roman" w:hAnsi="Palatino Linotype" w:cs="Calibri"/>
          <w:b/>
          <w:bCs/>
          <w:color w:val="000000"/>
          <w:sz w:val="20"/>
          <w:szCs w:val="20"/>
          <w:lang w:eastAsia="en-ZA"/>
        </w:rPr>
        <w:t>Supplementary Text S1</w:t>
      </w:r>
    </w:p>
    <w:p w14:paraId="706EA6E8" w14:textId="77777777" w:rsidR="00C66347" w:rsidRDefault="00C66347" w:rsidP="00CE2044">
      <w:pPr>
        <w:spacing w:after="0" w:line="240" w:lineRule="auto"/>
        <w:jc w:val="both"/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</w:pPr>
    </w:p>
    <w:p w14:paraId="70385C28" w14:textId="7E81F215" w:rsidR="00CE2044" w:rsidRPr="00CE2044" w:rsidRDefault="00CE2044" w:rsidP="00CE2044">
      <w:pPr>
        <w:spacing w:after="0" w:line="240" w:lineRule="auto"/>
        <w:jc w:val="both"/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</w:pP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After total RNA extraction and </w:t>
      </w:r>
      <w:proofErr w:type="gramStart"/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DNase</w:t>
      </w:r>
      <w:proofErr w:type="gramEnd"/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I treatment, the mRNA was isolated by using magnetic beads with Oligo (dT).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F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ragmentation buffer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was added to digest the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mRNA into short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er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fragment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s from which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cDNA templates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were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synthesized.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After purification,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EB buffer </w:t>
      </w:r>
      <w:r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was added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for end reparation and single nucleotide A (adenine) addition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, followed by an adapter ligation step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. 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Quality control was performed on a</w:t>
      </w:r>
      <w:r w:rsidR="00C66347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n</w:t>
      </w:r>
      <w:r w:rsidR="006813AE"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Agilent 2100 Bioanalyzer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, and fragment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amplification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was performed using an </w:t>
      </w:r>
      <w:r w:rsidR="006813AE"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ABI StepOnePlus Real-Time PCR System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.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L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ibrary sequenc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ing was performed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using Illumina HiseqTen 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reading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at least 30 million reads 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(MR) 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per sample. Paired-end sequencing </w:t>
      </w:r>
      <w:r w:rsidR="006813AE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>was</w:t>
      </w:r>
      <w:r w:rsidRPr="00CE2044">
        <w:rPr>
          <w:rFonts w:ascii="Palatino Linotype" w:eastAsia="Times New Roman" w:hAnsi="Palatino Linotype" w:cs="Calibri"/>
          <w:color w:val="000000"/>
          <w:sz w:val="20"/>
          <w:szCs w:val="20"/>
          <w:lang w:eastAsia="en-ZA"/>
        </w:rPr>
        <w:t xml:space="preserve"> applied for each sample to generate a read length of approximately 150 bp.</w:t>
      </w:r>
    </w:p>
    <w:p w14:paraId="3D345F32" w14:textId="77777777" w:rsidR="00F461E7" w:rsidRPr="00CE2044" w:rsidRDefault="00F461E7">
      <w:pPr>
        <w:rPr>
          <w:rFonts w:ascii="Palatino Linotype" w:hAnsi="Palatino Linotype"/>
          <w:sz w:val="20"/>
          <w:szCs w:val="20"/>
        </w:rPr>
      </w:pPr>
    </w:p>
    <w:sectPr w:rsidR="00F461E7" w:rsidRPr="00CE2044" w:rsidSect="003B47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44"/>
    <w:rsid w:val="003B4755"/>
    <w:rsid w:val="003E5C2C"/>
    <w:rsid w:val="00631824"/>
    <w:rsid w:val="006813AE"/>
    <w:rsid w:val="00C66347"/>
    <w:rsid w:val="00CE2044"/>
    <w:rsid w:val="00D75481"/>
    <w:rsid w:val="00F4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BD790"/>
  <w15:chartTrackingRefBased/>
  <w15:docId w15:val="{A44EE86D-5F23-4370-91E1-326DB987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2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2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Bio</dc:creator>
  <cp:keywords/>
  <dc:description/>
  <cp:lastModifiedBy>Dr. Bio</cp:lastModifiedBy>
  <cp:revision>2</cp:revision>
  <dcterms:created xsi:type="dcterms:W3CDTF">2020-11-23T06:06:00Z</dcterms:created>
  <dcterms:modified xsi:type="dcterms:W3CDTF">2020-11-24T15:20:00Z</dcterms:modified>
</cp:coreProperties>
</file>