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5E6" w:rsidRDefault="001F75E6" w:rsidP="001F75E6">
      <w:pPr>
        <w:pStyle w:val="MDPI52figure"/>
      </w:pPr>
      <w:r>
        <w:rPr>
          <w:noProof/>
        </w:rPr>
        <w:drawing>
          <wp:inline distT="0" distB="0" distL="0" distR="0" wp14:anchorId="45EA9A2E" wp14:editId="54299DAB">
            <wp:extent cx="5616000" cy="14904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00" cy="14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Pr="00C521FC" w:rsidRDefault="001F75E6" w:rsidP="001F75E6">
      <w:pPr>
        <w:pStyle w:val="MDPI51figurecaption"/>
      </w:pPr>
      <w:r>
        <w:rPr>
          <w:b/>
          <w:bCs/>
        </w:rPr>
        <w:t xml:space="preserve">Supplementary </w:t>
      </w:r>
      <w:r w:rsidRPr="00C521FC">
        <w:rPr>
          <w:b/>
          <w:bCs/>
        </w:rPr>
        <w:t xml:space="preserve">Figure </w:t>
      </w:r>
      <w:r>
        <w:rPr>
          <w:b/>
          <w:bCs/>
        </w:rPr>
        <w:t>S1</w:t>
      </w:r>
      <w:r w:rsidRPr="00C521FC">
        <w:rPr>
          <w:b/>
          <w:bCs/>
        </w:rPr>
        <w:t xml:space="preserve">. </w:t>
      </w:r>
      <w:bookmarkStart w:id="0" w:name="OLE_LINK3"/>
      <w:bookmarkStart w:id="1" w:name="OLE_LINK4"/>
      <w:r w:rsidRPr="00C521FC">
        <w:rPr>
          <w:b/>
          <w:bCs/>
        </w:rPr>
        <w:t>Cytotoxicity</w:t>
      </w:r>
      <w:r>
        <w:rPr>
          <w:b/>
          <w:bCs/>
        </w:rPr>
        <w:t xml:space="preserve"> and replication kinetics</w:t>
      </w:r>
      <w:r w:rsidRPr="00C521FC">
        <w:rPr>
          <w:b/>
          <w:bCs/>
        </w:rPr>
        <w:t xml:space="preserve"> of mutant viruses.</w:t>
      </w:r>
      <w:r w:rsidRPr="00C521FC">
        <w:t xml:space="preserve"> </w:t>
      </w:r>
      <w:bookmarkEnd w:id="0"/>
      <w:bookmarkEnd w:id="1"/>
      <w:r w:rsidRPr="00C521FC">
        <w:t xml:space="preserve">(A) The cytotoxic effect of </w:t>
      </w:r>
      <w:r>
        <w:t>HSV-345</w:t>
      </w:r>
      <w:r w:rsidRPr="00C521FC">
        <w:t xml:space="preserve"> virus was evaluated in human </w:t>
      </w:r>
      <w:r>
        <w:t>tumor</w:t>
      </w:r>
      <w:r w:rsidRPr="00C521FC">
        <w:t xml:space="preserve"> cell</w:t>
      </w:r>
      <w:r>
        <w:t xml:space="preserve"> line LS174T and mouse tumor cell lines 4T1 and CT26 </w:t>
      </w:r>
      <w:r w:rsidRPr="00C521FC">
        <w:t>at 72 hours post infection and MOI of 0.04, 0.2, and 1. Cell survival percentage was quantified by MTT assay. (B</w:t>
      </w:r>
      <w:r>
        <w:t>, C</w:t>
      </w:r>
      <w:r w:rsidRPr="00C521FC">
        <w:t xml:space="preserve">) </w:t>
      </w:r>
      <w:r>
        <w:t xml:space="preserve">H460 and MCF-7 human cancer cell monolayers were infected with either VG161, mVG161, or the parental backbone viruses VG160 and HSV-345 at MOI=0.1, and samples were harvested at the indicated </w:t>
      </w:r>
      <w:proofErr w:type="spellStart"/>
      <w:r>
        <w:t>timepoints</w:t>
      </w:r>
      <w:proofErr w:type="spellEnd"/>
      <w:r>
        <w:t xml:space="preserve">. Viral titers at each </w:t>
      </w:r>
      <w:proofErr w:type="spellStart"/>
      <w:r>
        <w:t>timepoint</w:t>
      </w:r>
      <w:proofErr w:type="spellEnd"/>
      <w:r>
        <w:t xml:space="preserve"> were determined by plaque assay. </w:t>
      </w:r>
      <w:r w:rsidRPr="00C521FC">
        <w:t>Error bars indicate SD.</w:t>
      </w:r>
    </w:p>
    <w:p w:rsidR="001F75E6" w:rsidRPr="00C521FC" w:rsidRDefault="001F75E6" w:rsidP="001F75E6">
      <w:pPr>
        <w:pStyle w:val="MDPI52figure"/>
        <w:rPr>
          <w:color w:val="auto"/>
          <w:szCs w:val="24"/>
        </w:rPr>
      </w:pPr>
      <w:r w:rsidRPr="00C521FC">
        <w:rPr>
          <w:noProof/>
          <w:lang w:eastAsia="zh-CN" w:bidi="ar-SA"/>
        </w:rPr>
        <w:drawing>
          <wp:inline distT="0" distB="0" distL="0" distR="0" wp14:anchorId="6DF06634" wp14:editId="3A8DD054">
            <wp:extent cx="5615940" cy="4338320"/>
            <wp:effectExtent l="0" t="0" r="3810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Pr="00C521FC" w:rsidRDefault="001F75E6" w:rsidP="001F75E6">
      <w:pPr>
        <w:pStyle w:val="MDPI51figurecaption"/>
      </w:pPr>
      <w:r w:rsidRPr="00C521FC">
        <w:rPr>
          <w:b/>
          <w:bCs/>
        </w:rPr>
        <w:t xml:space="preserve">Supplementary Figure S2. </w:t>
      </w:r>
      <w:r w:rsidRPr="00C521FC">
        <w:rPr>
          <w:b/>
          <w:bCs/>
          <w:i/>
          <w:iCs/>
        </w:rPr>
        <w:t>In vitro</w:t>
      </w:r>
      <w:r w:rsidRPr="00C521FC">
        <w:rPr>
          <w:b/>
          <w:bCs/>
        </w:rPr>
        <w:t xml:space="preserve"> characterization of IL-12, IL-15, and PD-L1 blocker expressed by VG161.</w:t>
      </w:r>
      <w:r w:rsidRPr="00C521FC">
        <w:t xml:space="preserve"> (A) H460 human lung cancer cells and LS174T colon cancer cells were infected with VG161 or its backbone virus VG160 (MOI=1) for 24 hours. Transgene expression was quantified by ELISA. (B) Harvested TF-Fc peptide-containing supernatants from transfected 293FT cells were mixed with recombinant human PD-1 Fc and bound to a human PD-L1 Fc coated 96-well </w:t>
      </w:r>
      <w:proofErr w:type="spellStart"/>
      <w:r w:rsidRPr="00C521FC">
        <w:t>Immuno</w:t>
      </w:r>
      <w:proofErr w:type="spellEnd"/>
      <w:r w:rsidRPr="00C521FC">
        <w:t xml:space="preserve"> </w:t>
      </w:r>
      <w:proofErr w:type="spellStart"/>
      <w:r w:rsidRPr="00C521FC">
        <w:t>Maxisorp</w:t>
      </w:r>
      <w:proofErr w:type="spellEnd"/>
      <w:r w:rsidRPr="00C521FC">
        <w:t xml:space="preserve"> flat bottom plate. Binding was detected via a </w:t>
      </w:r>
      <w:proofErr w:type="spellStart"/>
      <w:r w:rsidRPr="00C521FC">
        <w:t>biotinylated</w:t>
      </w:r>
      <w:proofErr w:type="spellEnd"/>
      <w:r w:rsidRPr="00C521FC">
        <w:t xml:space="preserve"> anti-PD-1 antibody, streptavidin-horseradish peroxidase (HRP), and 3</w:t>
      </w:r>
      <w:proofErr w:type="gramStart"/>
      <w:r w:rsidRPr="00C521FC">
        <w:t>,3’,5,5’</w:t>
      </w:r>
      <w:proofErr w:type="gramEnd"/>
      <w:r w:rsidRPr="00C521FC">
        <w:t xml:space="preserve">-Tetramethylbenzidine (TMB) substrate. Absorbance measurements were collected at 450 nm via a plate reader. The increased percent (%) of human PD-1/PD-L1 </w:t>
      </w:r>
      <w:r w:rsidRPr="00C521FC">
        <w:lastRenderedPageBreak/>
        <w:t>inhibition was compared to no peptide sample. (C) Cell-based assay results of TF-Fc peptide treatment. 5</w:t>
      </w:r>
      <w:r w:rsidRPr="00805308">
        <w:t xml:space="preserve"> × </w:t>
      </w:r>
      <w:r w:rsidRPr="00C521FC">
        <w:t>10</w:t>
      </w:r>
      <w:r w:rsidRPr="00C521FC">
        <w:rPr>
          <w:vertAlign w:val="superscript"/>
        </w:rPr>
        <w:t>4</w:t>
      </w:r>
      <w:r w:rsidRPr="00C521FC">
        <w:t xml:space="preserve"> </w:t>
      </w:r>
      <w:proofErr w:type="spellStart"/>
      <w:r w:rsidRPr="00C521FC">
        <w:t>Jurkat</w:t>
      </w:r>
      <w:proofErr w:type="spellEnd"/>
      <w:r w:rsidRPr="00C521FC">
        <w:t xml:space="preserve"> T cells were activated with 1 µ/ml of PHA and 50 ng/ml of PMA and co-cultured with 1</w:t>
      </w:r>
      <w:r w:rsidRPr="00805308">
        <w:t xml:space="preserve"> × </w:t>
      </w:r>
      <w:r w:rsidRPr="00C521FC">
        <w:t>10</w:t>
      </w:r>
      <w:r w:rsidRPr="00C521FC">
        <w:rPr>
          <w:vertAlign w:val="superscript"/>
        </w:rPr>
        <w:t>5</w:t>
      </w:r>
      <w:r w:rsidRPr="00C521FC">
        <w:t xml:space="preserve"> PD-L1-expressing tumor cells mixed with PD-L1 blocking peptide-containing supernatants at 37</w:t>
      </w:r>
      <w:r w:rsidRPr="00453FB9">
        <w:t>°C</w:t>
      </w:r>
      <w:r w:rsidRPr="00C521FC">
        <w:t xml:space="preserve"> for 48 hours. After 48 hours, cell culture supernatants were harvested and IL-2 production from </w:t>
      </w:r>
      <w:proofErr w:type="spellStart"/>
      <w:r w:rsidRPr="00C521FC">
        <w:t>Jurkat</w:t>
      </w:r>
      <w:proofErr w:type="spellEnd"/>
      <w:r w:rsidRPr="00C521FC">
        <w:t xml:space="preserve"> T cells was assessed by IL-2 ELISA. P values were computed using unpaired t-test. Error bars indicate SD.</w:t>
      </w:r>
    </w:p>
    <w:p w:rsidR="001F75E6" w:rsidRPr="00C521FC" w:rsidRDefault="001F75E6" w:rsidP="001F75E6">
      <w:pPr>
        <w:pStyle w:val="MDPI52figure"/>
        <w:rPr>
          <w:color w:val="auto"/>
        </w:rPr>
      </w:pPr>
      <w:r w:rsidRPr="00C521FC">
        <w:rPr>
          <w:noProof/>
          <w:lang w:eastAsia="zh-CN" w:bidi="ar-SA"/>
        </w:rPr>
        <w:drawing>
          <wp:inline distT="0" distB="0" distL="0" distR="0" wp14:anchorId="7742F0F2" wp14:editId="5E227DEE">
            <wp:extent cx="4472940" cy="1787355"/>
            <wp:effectExtent l="0" t="0" r="381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65" cy="17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Default="001F75E6" w:rsidP="001F75E6">
      <w:pPr>
        <w:pStyle w:val="MDPI51figurecaption"/>
      </w:pPr>
      <w:r w:rsidRPr="00C521FC">
        <w:rPr>
          <w:b/>
          <w:bCs/>
        </w:rPr>
        <w:t xml:space="preserve">Supplementary Figure S3. </w:t>
      </w:r>
      <w:r w:rsidRPr="00C521FC">
        <w:rPr>
          <w:b/>
          <w:bCs/>
          <w:i/>
          <w:iCs/>
        </w:rPr>
        <w:t>In vitro</w:t>
      </w:r>
      <w:r w:rsidRPr="00C521FC">
        <w:rPr>
          <w:b/>
          <w:bCs/>
        </w:rPr>
        <w:t xml:space="preserve"> characterization of IL-12, IL-15, and PD-L1 blocker expressed by mVG161.</w:t>
      </w:r>
      <w:r w:rsidRPr="00C521FC">
        <w:t xml:space="preserve"> (A) Vero cells were infected with mVG161 (MOI=1) for 48 hours. Transgene expression was quantified by ELISA. Error bars indicate SD.</w:t>
      </w:r>
    </w:p>
    <w:p w:rsidR="001F75E6" w:rsidRPr="00C521FC" w:rsidRDefault="001F75E6" w:rsidP="001F75E6">
      <w:pPr>
        <w:pStyle w:val="MDPI52figure"/>
        <w:rPr>
          <w:szCs w:val="24"/>
        </w:rPr>
      </w:pPr>
      <w:r w:rsidRPr="00C521FC">
        <w:rPr>
          <w:noProof/>
          <w:lang w:eastAsia="zh-CN" w:bidi="ar-SA"/>
        </w:rPr>
        <w:drawing>
          <wp:inline distT="0" distB="0" distL="0" distR="0" wp14:anchorId="19F86D2E" wp14:editId="6A8130A9">
            <wp:extent cx="3546764" cy="1827347"/>
            <wp:effectExtent l="0" t="0" r="0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431" cy="1829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Pr="00C521FC" w:rsidRDefault="001F75E6" w:rsidP="001F75E6">
      <w:pPr>
        <w:pStyle w:val="MDPI51figurecaption"/>
      </w:pPr>
      <w:r w:rsidRPr="00C521FC">
        <w:rPr>
          <w:b/>
          <w:bCs/>
        </w:rPr>
        <w:t>Supplementary Figure S</w:t>
      </w:r>
      <w:r>
        <w:rPr>
          <w:b/>
          <w:bCs/>
        </w:rPr>
        <w:t>4</w:t>
      </w:r>
      <w:r w:rsidRPr="00C521FC">
        <w:rPr>
          <w:b/>
          <w:bCs/>
        </w:rPr>
        <w:t>. Concentration dependent effect of supernatants from VG161-infected cells on PBMCs</w:t>
      </w:r>
      <w:r w:rsidRPr="009A72F7">
        <w:rPr>
          <w:b/>
          <w:bCs/>
        </w:rPr>
        <w:t>.</w:t>
      </w:r>
      <w:r w:rsidRPr="009A72F7">
        <w:t xml:space="preserve"> </w:t>
      </w:r>
      <w:r w:rsidRPr="00453FB9">
        <w:t>2 × 1</w:t>
      </w:r>
      <w:r w:rsidRPr="009A72F7">
        <w:t>0</w:t>
      </w:r>
      <w:r w:rsidRPr="009A72F7">
        <w:rPr>
          <w:vertAlign w:val="superscript"/>
        </w:rPr>
        <w:t>4</w:t>
      </w:r>
      <w:r w:rsidRPr="00C521FC">
        <w:t xml:space="preserve"> cells/well human PBMCs were cultured with PHA for 48 hours and subsequently co-incubated with different volume of VG161 or VG160 supernatant in 96-well plate for 48 hours. Human IFN-γ production was assessed by ELISA assay.</w:t>
      </w:r>
    </w:p>
    <w:p w:rsidR="001F75E6" w:rsidRPr="00C521FC" w:rsidRDefault="001F75E6" w:rsidP="001F75E6">
      <w:pPr>
        <w:pStyle w:val="MDPI52figure"/>
        <w:rPr>
          <w:szCs w:val="24"/>
        </w:rPr>
      </w:pPr>
      <w:r w:rsidRPr="00C521FC">
        <w:rPr>
          <w:noProof/>
          <w:lang w:eastAsia="zh-CN" w:bidi="ar-SA"/>
        </w:rPr>
        <w:drawing>
          <wp:inline distT="0" distB="0" distL="0" distR="0" wp14:anchorId="18A9D130" wp14:editId="45CACB3F">
            <wp:extent cx="5491560" cy="175952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74" cy="177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Pr="00C521FC" w:rsidRDefault="001F75E6" w:rsidP="001F75E6">
      <w:pPr>
        <w:pStyle w:val="MDPI51figurecaption"/>
      </w:pPr>
      <w:r w:rsidRPr="00C521FC">
        <w:rPr>
          <w:b/>
          <w:bCs/>
        </w:rPr>
        <w:t>Supplementary Figure S</w:t>
      </w:r>
      <w:r>
        <w:rPr>
          <w:b/>
          <w:bCs/>
        </w:rPr>
        <w:t>5</w:t>
      </w:r>
      <w:r w:rsidRPr="00C521FC">
        <w:rPr>
          <w:b/>
          <w:bCs/>
        </w:rPr>
        <w:t xml:space="preserve">. </w:t>
      </w:r>
      <w:proofErr w:type="spellStart"/>
      <w:proofErr w:type="gramStart"/>
      <w:r w:rsidRPr="00C521FC">
        <w:rPr>
          <w:b/>
          <w:bCs/>
        </w:rPr>
        <w:t>qPCR</w:t>
      </w:r>
      <w:proofErr w:type="spellEnd"/>
      <w:proofErr w:type="gramEnd"/>
      <w:r w:rsidRPr="00C521FC">
        <w:rPr>
          <w:b/>
          <w:bCs/>
        </w:rPr>
        <w:t xml:space="preserve"> array.</w:t>
      </w:r>
      <w:r w:rsidRPr="00C521FC">
        <w:t xml:space="preserve"> BALB/c mice were subcutaneously </w:t>
      </w:r>
      <w:r w:rsidRPr="009A72F7">
        <w:t xml:space="preserve">implanted with </w:t>
      </w:r>
      <w:r w:rsidRPr="00453FB9">
        <w:t>1 × 1</w:t>
      </w:r>
      <w:r w:rsidRPr="009A72F7">
        <w:t>0</w:t>
      </w:r>
      <w:r w:rsidRPr="009A72F7">
        <w:rPr>
          <w:vertAlign w:val="superscript"/>
        </w:rPr>
        <w:t>6</w:t>
      </w:r>
      <w:r w:rsidRPr="00FB726A">
        <w:t xml:space="preserve"> CT26 tumor cells and subsequently treated with 5 daily injections of mVG161, the control virus VG160, or PBS (</w:t>
      </w:r>
      <w:r w:rsidRPr="00453FB9">
        <w:t>1 × 1</w:t>
      </w:r>
      <w:r w:rsidRPr="009A72F7">
        <w:t>0</w:t>
      </w:r>
      <w:r w:rsidRPr="009A72F7">
        <w:rPr>
          <w:vertAlign w:val="superscript"/>
        </w:rPr>
        <w:t>7</w:t>
      </w:r>
      <w:r w:rsidRPr="00C521FC">
        <w:t xml:space="preserve"> PFU/mouse/day). The tumors were harvested 24 hours after the last virus injection, RNA was isolated and purified, followed by gene expression profiling using the Mouse Innate &amp; Adaptive Immune Responses RT</w:t>
      </w:r>
      <w:r w:rsidRPr="00C521FC">
        <w:rPr>
          <w:vertAlign w:val="superscript"/>
        </w:rPr>
        <w:t>2</w:t>
      </w:r>
      <w:r w:rsidRPr="00C521FC">
        <w:t xml:space="preserve"> Profiler™ PCR Array from </w:t>
      </w:r>
      <w:proofErr w:type="spellStart"/>
      <w:r w:rsidRPr="00C521FC">
        <w:t>Qiagen</w:t>
      </w:r>
      <w:proofErr w:type="spellEnd"/>
      <w:r w:rsidRPr="00C521FC">
        <w:t xml:space="preserve">. Differential expression </w:t>
      </w:r>
      <w:r w:rsidRPr="00C521FC">
        <w:lastRenderedPageBreak/>
        <w:t>of innate and adaptive immunity related genes in tumors treated with mVG161 compared to those treated with VG160 and PBS is represented as a heat map. The overexpression of indicated targets was validated by RT-</w:t>
      </w:r>
      <w:proofErr w:type="spellStart"/>
      <w:r w:rsidRPr="00C521FC">
        <w:t>qPCR</w:t>
      </w:r>
      <w:proofErr w:type="spellEnd"/>
      <w:r w:rsidRPr="00C521FC">
        <w:t>.</w:t>
      </w:r>
    </w:p>
    <w:p w:rsidR="001F75E6" w:rsidRPr="00C521FC" w:rsidRDefault="001F75E6" w:rsidP="001F75E6">
      <w:pPr>
        <w:pStyle w:val="MDPI52figure"/>
        <w:rPr>
          <w:color w:val="auto"/>
        </w:rPr>
      </w:pPr>
      <w:r w:rsidRPr="00C521FC">
        <w:rPr>
          <w:noProof/>
          <w:lang w:eastAsia="zh-CN" w:bidi="ar-SA"/>
        </w:rPr>
        <w:drawing>
          <wp:inline distT="0" distB="0" distL="0" distR="0" wp14:anchorId="1FB1271E" wp14:editId="6A3665FD">
            <wp:extent cx="4390939" cy="3600000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939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6" w:rsidRPr="00C521FC" w:rsidRDefault="001F75E6" w:rsidP="001F75E6">
      <w:pPr>
        <w:pStyle w:val="MDPI51figurecaption"/>
      </w:pPr>
      <w:r w:rsidRPr="00C521FC">
        <w:rPr>
          <w:b/>
          <w:bCs/>
        </w:rPr>
        <w:t>Supplementary Figure S</w:t>
      </w:r>
      <w:r>
        <w:rPr>
          <w:b/>
          <w:bCs/>
        </w:rPr>
        <w:t>6</w:t>
      </w:r>
      <w:r w:rsidRPr="00C521FC">
        <w:rPr>
          <w:b/>
          <w:bCs/>
        </w:rPr>
        <w:t>. Primate body weight remains stable during toxicity studies.</w:t>
      </w:r>
      <w:r w:rsidRPr="00C521FC">
        <w:t xml:space="preserve"> In the single dose study, 8 </w:t>
      </w:r>
      <w:proofErr w:type="spellStart"/>
      <w:r w:rsidRPr="00C521FC">
        <w:t>cynomolgus</w:t>
      </w:r>
      <w:proofErr w:type="spellEnd"/>
      <w:r w:rsidRPr="00C521FC">
        <w:t xml:space="preserve"> monkeys (4 animals/sex) were assigned to 4 groups (1 animals/sex/group) and treated by administering a single intramuscular injection with either vehicle control or VG161 at the indicated doses. In the repeat dose study, 7 animals/sex/group were treated via repeated intramuscular injections with either vehicle control or VG161 at the indicated doses. Negative study day values indicate that the body weight measurement was taken 3 days before injections were administered in the single dose study and 1 day before injections were administered in the repeat dose study. Error bars indicate SD.</w:t>
      </w:r>
    </w:p>
    <w:p w:rsidR="00055DDB" w:rsidRPr="00E06592" w:rsidRDefault="00055DDB" w:rsidP="00325C08">
      <w:pPr>
        <w:pStyle w:val="MDPI511onefigurecaption"/>
        <w:jc w:val="both"/>
      </w:pPr>
      <w:bookmarkStart w:id="2" w:name="_GoBack"/>
      <w:bookmarkEnd w:id="2"/>
    </w:p>
    <w:sectPr w:rsidR="00055DDB" w:rsidRPr="00E06592" w:rsidSect="00E131E4">
      <w:headerReference w:type="even" r:id="rId14"/>
      <w:headerReference w:type="default" r:id="rId15"/>
      <w:footerReference w:type="default" r:id="rId16"/>
      <w:footerReference w:type="first" r:id="rId17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20E" w:rsidRDefault="0090420E" w:rsidP="00C1340D">
      <w:r>
        <w:separator/>
      </w:r>
    </w:p>
  </w:endnote>
  <w:endnote w:type="continuationSeparator" w:id="0">
    <w:p w:rsidR="0090420E" w:rsidRDefault="0090420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715246"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90420E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1F75E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20E" w:rsidRDefault="0090420E" w:rsidP="00C1340D">
      <w:r>
        <w:separator/>
      </w:r>
    </w:p>
  </w:footnote>
  <w:footnote w:type="continuationSeparator" w:id="0">
    <w:p w:rsidR="0090420E" w:rsidRDefault="0090420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B7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E6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1B7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246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20E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5D29A777-B1D0-4A26-B2CE-715461C2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4C851-AFF9-4BAC-ACE8-62CE33F3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3290</Characters>
  <Application>Microsoft Office Word</Application>
  <DocSecurity>0</DocSecurity>
  <Lines>50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2020-11-05T02:44:00Z</dcterms:created>
  <dcterms:modified xsi:type="dcterms:W3CDTF">2020-11-05T03:01:00Z</dcterms:modified>
</cp:coreProperties>
</file>