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3DB3595" w14:textId="77777777" w:rsidR="00F24423" w:rsidRPr="00273F32" w:rsidRDefault="00F24423" w:rsidP="00F24423">
      <w:pPr>
        <w:pStyle w:val="Title"/>
        <w:rPr>
          <w:rFonts w:ascii="Calibri" w:hAnsi="Calibri" w:cs="Calibri"/>
          <w:color w:val="000000"/>
          <w:shd w:val="clear" w:color="auto" w:fill="FFFFFF"/>
          <w:lang w:val="en-GB"/>
        </w:rPr>
      </w:pPr>
      <w:r w:rsidRPr="00273F32">
        <w:rPr>
          <w:rFonts w:ascii="Calibri" w:hAnsi="Calibri" w:cs="Calibri"/>
          <w:color w:val="000000"/>
          <w:shd w:val="clear" w:color="auto" w:fill="FFFFFF"/>
          <w:lang w:val="en-GB"/>
        </w:rPr>
        <w:t>Conventional, high-resolution and imaging flow cytometry: Benchmarking performance in characterisation of extracellular vesicles</w:t>
      </w:r>
    </w:p>
    <w:p w14:paraId="5BA3545E" w14:textId="77777777" w:rsidR="00F24423" w:rsidRPr="00273F32" w:rsidRDefault="00F24423" w:rsidP="00F24423">
      <w:pPr>
        <w:rPr>
          <w:lang w:val="en-GB"/>
        </w:rPr>
      </w:pPr>
    </w:p>
    <w:p w14:paraId="23E87FAE" w14:textId="77777777" w:rsidR="00F24423" w:rsidRPr="00273F32" w:rsidRDefault="00F24423" w:rsidP="00F24423">
      <w:pPr>
        <w:rPr>
          <w:lang w:val="en-GB"/>
        </w:rPr>
      </w:pPr>
    </w:p>
    <w:p w14:paraId="2976EE69" w14:textId="77777777" w:rsidR="00F24423" w:rsidRPr="00273F32" w:rsidRDefault="00F24423" w:rsidP="00F24423">
      <w:pPr>
        <w:pStyle w:val="Subtitle"/>
        <w:rPr>
          <w:sz w:val="40"/>
          <w:lang w:val="en-GB"/>
        </w:rPr>
      </w:pPr>
      <w:r w:rsidRPr="00273F32">
        <w:rPr>
          <w:sz w:val="40"/>
          <w:lang w:val="en-GB"/>
        </w:rPr>
        <w:t>Supplementary Materials</w:t>
      </w:r>
    </w:p>
    <w:p w14:paraId="52A4EE76" w14:textId="77777777" w:rsidR="00F24423" w:rsidRPr="00273F32" w:rsidRDefault="00F24423" w:rsidP="00F24423">
      <w:pPr>
        <w:rPr>
          <w:lang w:val="en-GB"/>
        </w:rPr>
      </w:pPr>
    </w:p>
    <w:p w14:paraId="1C5D072D" w14:textId="77777777" w:rsidR="00F24423" w:rsidRPr="00273F32" w:rsidRDefault="00F24423" w:rsidP="00F24423">
      <w:pPr>
        <w:rPr>
          <w:lang w:val="en-GB"/>
        </w:rPr>
      </w:pPr>
    </w:p>
    <w:p w14:paraId="37E908D0" w14:textId="77777777" w:rsidR="00F24423" w:rsidRPr="00273F32" w:rsidRDefault="00F24423" w:rsidP="00F24423">
      <w:pPr>
        <w:pStyle w:val="Subtitle"/>
        <w:rPr>
          <w:vertAlign w:val="superscript"/>
          <w:lang w:val="en-GB"/>
        </w:rPr>
      </w:pPr>
      <w:r w:rsidRPr="00273F32">
        <w:rPr>
          <w:lang w:val="en-GB"/>
        </w:rPr>
        <w:t xml:space="preserve">Jaco Botha </w:t>
      </w:r>
      <w:proofErr w:type="spellStart"/>
      <w:proofErr w:type="gramStart"/>
      <w:r w:rsidRPr="00273F32">
        <w:rPr>
          <w:vertAlign w:val="superscript"/>
          <w:lang w:val="en-GB"/>
        </w:rPr>
        <w:t>a,b</w:t>
      </w:r>
      <w:proofErr w:type="spellEnd"/>
      <w:proofErr w:type="gramEnd"/>
      <w:r w:rsidRPr="00273F32">
        <w:rPr>
          <w:lang w:val="en-GB"/>
        </w:rPr>
        <w:t xml:space="preserve">, Haley R. Pugsley </w:t>
      </w:r>
      <w:r w:rsidRPr="00273F32">
        <w:rPr>
          <w:vertAlign w:val="superscript"/>
          <w:lang w:val="en-GB"/>
        </w:rPr>
        <w:t>c</w:t>
      </w:r>
      <w:r w:rsidRPr="00273F32">
        <w:rPr>
          <w:lang w:val="en-GB"/>
        </w:rPr>
        <w:t xml:space="preserve">, Aase </w:t>
      </w:r>
      <w:proofErr w:type="spellStart"/>
      <w:r w:rsidRPr="00273F32">
        <w:rPr>
          <w:lang w:val="en-GB"/>
        </w:rPr>
        <w:t>Handberg</w:t>
      </w:r>
      <w:proofErr w:type="spellEnd"/>
      <w:r w:rsidRPr="00273F32">
        <w:rPr>
          <w:lang w:val="en-GB"/>
        </w:rPr>
        <w:t xml:space="preserve"> </w:t>
      </w:r>
      <w:proofErr w:type="spellStart"/>
      <w:r w:rsidRPr="00273F32">
        <w:rPr>
          <w:vertAlign w:val="superscript"/>
          <w:lang w:val="en-GB"/>
        </w:rPr>
        <w:t>a,b</w:t>
      </w:r>
      <w:proofErr w:type="spellEnd"/>
    </w:p>
    <w:p w14:paraId="0203E7A3" w14:textId="77777777" w:rsidR="00F24423" w:rsidRPr="00273F32" w:rsidRDefault="00F24423" w:rsidP="00F24423">
      <w:pPr>
        <w:rPr>
          <w:lang w:val="en-GB"/>
        </w:rPr>
      </w:pPr>
      <w:r w:rsidRPr="00273F32">
        <w:rPr>
          <w:vertAlign w:val="superscript"/>
          <w:lang w:val="en-GB"/>
        </w:rPr>
        <w:t>a</w:t>
      </w:r>
      <w:r w:rsidRPr="00273F32">
        <w:rPr>
          <w:lang w:val="en-GB"/>
        </w:rPr>
        <w:t xml:space="preserve"> Department of Clinical Biochemistry, Aalborg University Hospital, North Denmark Region, Aalborg, Denmark</w:t>
      </w:r>
    </w:p>
    <w:p w14:paraId="6ADA040C" w14:textId="77777777" w:rsidR="00F24423" w:rsidRPr="00273F32" w:rsidRDefault="00F24423" w:rsidP="00F24423">
      <w:pPr>
        <w:rPr>
          <w:lang w:val="en-GB"/>
        </w:rPr>
      </w:pPr>
      <w:r w:rsidRPr="00273F32">
        <w:rPr>
          <w:vertAlign w:val="superscript"/>
          <w:lang w:val="en-GB"/>
        </w:rPr>
        <w:t>b</w:t>
      </w:r>
      <w:r w:rsidRPr="00273F32">
        <w:rPr>
          <w:lang w:val="en-GB"/>
        </w:rPr>
        <w:t xml:space="preserve"> Department of Clinical Medicine, Aalborg University, Aalborg, Denmark</w:t>
      </w:r>
    </w:p>
    <w:p w14:paraId="48DA242A" w14:textId="77777777" w:rsidR="00F24423" w:rsidRPr="00273F32" w:rsidRDefault="00F24423" w:rsidP="00F24423">
      <w:pPr>
        <w:rPr>
          <w:lang w:val="en-GB"/>
        </w:rPr>
      </w:pPr>
      <w:r w:rsidRPr="00273F32">
        <w:rPr>
          <w:vertAlign w:val="superscript"/>
          <w:lang w:val="en-GB"/>
        </w:rPr>
        <w:t>c</w:t>
      </w:r>
      <w:r w:rsidRPr="00273F32">
        <w:rPr>
          <w:lang w:val="en-GB"/>
        </w:rPr>
        <w:t xml:space="preserve"> Luminex Corporation, Seattle, Washington, United States of America</w:t>
      </w:r>
    </w:p>
    <w:p w14:paraId="73AA4E13" w14:textId="77777777" w:rsidR="00F24423" w:rsidRPr="00273F32" w:rsidRDefault="00F24423" w:rsidP="00F24423">
      <w:pPr>
        <w:rPr>
          <w:lang w:val="en-GB"/>
        </w:rPr>
      </w:pPr>
    </w:p>
    <w:p w14:paraId="6782218A" w14:textId="77777777" w:rsidR="00F24423" w:rsidRPr="00273F32" w:rsidRDefault="00F24423" w:rsidP="00F24423">
      <w:pPr>
        <w:rPr>
          <w:b/>
          <w:lang w:val="en-GB"/>
        </w:rPr>
      </w:pPr>
      <w:r w:rsidRPr="00273F32">
        <w:rPr>
          <w:b/>
          <w:lang w:val="en-GB"/>
        </w:rPr>
        <w:t xml:space="preserve">Corresponding author: </w:t>
      </w:r>
    </w:p>
    <w:p w14:paraId="064DA80B" w14:textId="77777777" w:rsidR="00F24423" w:rsidRPr="00273F32" w:rsidRDefault="00F24423" w:rsidP="00F24423">
      <w:pPr>
        <w:rPr>
          <w:lang w:val="en-GB"/>
        </w:rPr>
      </w:pPr>
      <w:r w:rsidRPr="00273F32">
        <w:rPr>
          <w:lang w:val="en-GB"/>
        </w:rPr>
        <w:t>Jaco Botha</w:t>
      </w:r>
    </w:p>
    <w:p w14:paraId="6C34599A" w14:textId="77777777" w:rsidR="00F24423" w:rsidRPr="00273F32" w:rsidRDefault="00E36D02" w:rsidP="00F24423">
      <w:pPr>
        <w:rPr>
          <w:lang w:val="en-GB"/>
        </w:rPr>
      </w:pPr>
      <w:hyperlink r:id="rId4" w:history="1">
        <w:r w:rsidR="00F24423" w:rsidRPr="00273F32">
          <w:rPr>
            <w:rStyle w:val="Hyperlink"/>
            <w:lang w:val="en-GB"/>
          </w:rPr>
          <w:t>j.botha@rn.dk</w:t>
        </w:r>
      </w:hyperlink>
    </w:p>
    <w:p w14:paraId="2F5E5E36" w14:textId="77777777" w:rsidR="00F24423" w:rsidRPr="00E36D02" w:rsidRDefault="00F24423" w:rsidP="00F24423">
      <w:r w:rsidRPr="00E36D02">
        <w:t>Sdr. Skovvej 15, Room 309</w:t>
      </w:r>
    </w:p>
    <w:p w14:paraId="5250FB6F" w14:textId="77777777" w:rsidR="00F24423" w:rsidRPr="00E36D02" w:rsidRDefault="00F24423" w:rsidP="00F24423">
      <w:r w:rsidRPr="00E36D02">
        <w:t>DK-9000 Aalborg</w:t>
      </w:r>
    </w:p>
    <w:p w14:paraId="07CAA58C" w14:textId="77777777" w:rsidR="00F24423" w:rsidRPr="00E36D02" w:rsidRDefault="00F24423" w:rsidP="00F24423">
      <w:r w:rsidRPr="00E36D02">
        <w:t>North Denmark Region</w:t>
      </w:r>
    </w:p>
    <w:p w14:paraId="043DA5A2" w14:textId="77777777" w:rsidR="00F24423" w:rsidRPr="00273F32" w:rsidRDefault="00F24423" w:rsidP="00F24423">
      <w:pPr>
        <w:rPr>
          <w:lang w:val="en-GB"/>
        </w:rPr>
      </w:pPr>
      <w:r w:rsidRPr="00273F32">
        <w:rPr>
          <w:lang w:val="en-GB"/>
        </w:rPr>
        <w:t>Denmark</w:t>
      </w:r>
    </w:p>
    <w:p w14:paraId="4C07ED0D" w14:textId="77777777" w:rsidR="00A0701F" w:rsidRPr="00273F32" w:rsidRDefault="00A0701F">
      <w:pPr>
        <w:rPr>
          <w:lang w:val="en-GB"/>
        </w:rPr>
      </w:pPr>
      <w:r w:rsidRPr="00273F32">
        <w:rPr>
          <w:lang w:val="en-GB"/>
        </w:rPr>
        <w:br w:type="page"/>
      </w:r>
    </w:p>
    <w:p w14:paraId="671DE436" w14:textId="77777777" w:rsidR="00A0701F" w:rsidRPr="00273F32" w:rsidRDefault="00A0701F" w:rsidP="00A0701F">
      <w:pPr>
        <w:rPr>
          <w:lang w:val="en-GB"/>
        </w:rPr>
      </w:pPr>
      <w:r w:rsidRPr="00273F32">
        <w:rPr>
          <w:noProof/>
          <w:lang w:val="en-GB" w:eastAsia="da-DK"/>
        </w:rPr>
        <w:lastRenderedPageBreak/>
        <w:drawing>
          <wp:inline distT="0" distB="0" distL="0" distR="0" wp14:anchorId="12D9FACF" wp14:editId="4F7793AA">
            <wp:extent cx="5728970" cy="8863330"/>
            <wp:effectExtent l="0" t="0" r="508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897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8D951" w14:textId="77777777" w:rsidR="00A0701F" w:rsidRPr="00273F32" w:rsidRDefault="00A0701F" w:rsidP="00A0701F">
      <w:pPr>
        <w:rPr>
          <w:lang w:val="en-GB"/>
        </w:rPr>
      </w:pP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lastRenderedPageBreak/>
        <w:t xml:space="preserve">Fig. S1: Specific EV-defining gating strategy for </w:t>
      </w:r>
      <w:r w:rsidR="004A0EE0"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FACS Aria III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. A)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First, a bi-sector gate was established to separate counting beads from other events in each sample.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B)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An EV size gate was established on the 99th percentile of green fluorescent 1000nm silica nanospheres (RI 1.4696 @ </w:t>
      </w:r>
      <w:r w:rsidRPr="00273F32">
        <w:rPr>
          <w:rFonts w:ascii="Calibri" w:eastAsia="Times New Roman" w:hAnsi="Calibri" w:cs="Calibri"/>
          <w:i/>
          <w:iCs/>
          <w:color w:val="000000"/>
          <w:sz w:val="24"/>
          <w:szCs w:val="24"/>
          <w:lang w:val="en-GB"/>
        </w:rPr>
        <w:t>λ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= 405nm) outside of the counting bead gate on FSC vs. SSC.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C)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On events within the EV size gate in an unlabelled PPP sample, a gate was set on the triggering threshold value of 200 to define </w:t>
      </w:r>
      <w:proofErr w:type="spellStart"/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>lactadherin</w:t>
      </w:r>
      <w:proofErr w:type="spellEnd"/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-binding phosphatidylserine (PS)+ events.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D)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On PS+ events in a PPP sample stained with isotype control antibodies, quadrant gates were established on the 99th percentiles of events in the APC vs. PE channels to define different combinations of CD41+/- and CD36+/- events, respectively. Finally, the sums of CD41+ and CD36+ events were defined by establishing logical OR gates on “</w:t>
      </w:r>
      <w:r w:rsidRPr="00273F32">
        <w:rPr>
          <w:rFonts w:ascii="Calibri" w:eastAsia="Times New Roman" w:hAnsi="Calibri" w:cs="Calibri"/>
          <w:i/>
          <w:iCs/>
          <w:color w:val="000000"/>
          <w:sz w:val="24"/>
          <w:szCs w:val="24"/>
          <w:lang w:val="en-GB"/>
        </w:rPr>
        <w:t>CD41+|CD36+ OR CD41+|CD36-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>“ and “</w:t>
      </w:r>
      <w:r w:rsidRPr="00273F32">
        <w:rPr>
          <w:rFonts w:ascii="Calibri" w:eastAsia="Times New Roman" w:hAnsi="Calibri" w:cs="Calibri"/>
          <w:i/>
          <w:iCs/>
          <w:color w:val="000000"/>
          <w:sz w:val="24"/>
          <w:szCs w:val="24"/>
          <w:lang w:val="en-GB"/>
        </w:rPr>
        <w:t>CD41-|CD36+ OR CD41+|CD36+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”, respectively. Gates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A-D)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were transferred to all samples acquired on the flow cytometer during the same analysis day and done for each analysis day separately.</w:t>
      </w:r>
    </w:p>
    <w:p w14:paraId="3445A8E8" w14:textId="77777777" w:rsidR="00A0701F" w:rsidRPr="00273F32" w:rsidRDefault="00A0701F" w:rsidP="00A0701F">
      <w:pPr>
        <w:rPr>
          <w:lang w:val="en-GB"/>
        </w:rPr>
      </w:pPr>
      <w:r w:rsidRPr="00273F32">
        <w:rPr>
          <w:lang w:val="en-GB"/>
        </w:rPr>
        <w:br w:type="page"/>
      </w:r>
    </w:p>
    <w:p w14:paraId="6F6D93C3" w14:textId="77777777" w:rsidR="00A0701F" w:rsidRPr="00273F32" w:rsidRDefault="00A0701F" w:rsidP="00A0701F">
      <w:pPr>
        <w:rPr>
          <w:lang w:val="en-GB"/>
        </w:rPr>
      </w:pPr>
      <w:r w:rsidRPr="00273F32">
        <w:rPr>
          <w:noProof/>
          <w:lang w:val="en-GB" w:eastAsia="da-DK"/>
        </w:rPr>
        <w:lastRenderedPageBreak/>
        <w:drawing>
          <wp:inline distT="0" distB="0" distL="0" distR="0" wp14:anchorId="3968D100" wp14:editId="0526CA97">
            <wp:extent cx="5728970" cy="8863330"/>
            <wp:effectExtent l="0" t="0" r="508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897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A901E" w14:textId="77777777" w:rsidR="00A0701F" w:rsidRPr="00273F32" w:rsidRDefault="00A0701F" w:rsidP="00A0701F">
      <w:pPr>
        <w:rPr>
          <w:lang w:val="en-GB"/>
        </w:rPr>
      </w:pP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lastRenderedPageBreak/>
        <w:t xml:space="preserve">Fig. S2: Specific EV-defining gating strategy for </w:t>
      </w:r>
      <w:r w:rsidR="004A0EE0"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Apogee A60 Micro-PLUS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. A)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An EV size gate was established on the 99th percentile of green fluorescent 1000nm silica nanospheres (RI 1.4696 @ </w:t>
      </w:r>
      <w:r w:rsidRPr="00273F32">
        <w:rPr>
          <w:rFonts w:ascii="Calibri" w:eastAsia="Times New Roman" w:hAnsi="Calibri" w:cs="Calibri"/>
          <w:i/>
          <w:iCs/>
          <w:color w:val="000000"/>
          <w:sz w:val="24"/>
          <w:szCs w:val="24"/>
          <w:lang w:val="en-GB"/>
        </w:rPr>
        <w:t>λ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= 405nm) outside of the counting bead gate on SALS vs. LALS.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B)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On events within the EV size gate in an unlabelled PPP sample, a gate was established on the 99th percentile in the FITC channel to define </w:t>
      </w:r>
      <w:proofErr w:type="spellStart"/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>lactadherin</w:t>
      </w:r>
      <w:proofErr w:type="spellEnd"/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-binding phosphatidylserine (PS)+ events.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C)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On PS+ events in a PPP sample stained with isotype control antibodies, quadrant gates were established on the 99th percentiles of events in the APC vs. PE channels to define different combinations of CD41+/- and CD36+/- events, respectively. Finally, the sums of CD41+ and CD36+ events were defined by establishing logical OR gates on “</w:t>
      </w:r>
      <w:r w:rsidRPr="00273F32">
        <w:rPr>
          <w:rFonts w:ascii="Calibri" w:eastAsia="Times New Roman" w:hAnsi="Calibri" w:cs="Calibri"/>
          <w:i/>
          <w:iCs/>
          <w:color w:val="000000"/>
          <w:sz w:val="24"/>
          <w:szCs w:val="24"/>
          <w:lang w:val="en-GB"/>
        </w:rPr>
        <w:t>CD41+|CD36+ OR CD41+|CD36-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>“ and “</w:t>
      </w:r>
      <w:r w:rsidRPr="00273F32">
        <w:rPr>
          <w:rFonts w:ascii="Calibri" w:eastAsia="Times New Roman" w:hAnsi="Calibri" w:cs="Calibri"/>
          <w:i/>
          <w:iCs/>
          <w:color w:val="000000"/>
          <w:sz w:val="24"/>
          <w:szCs w:val="24"/>
          <w:lang w:val="en-GB"/>
        </w:rPr>
        <w:t>CD41-|CD36+ OR CD41+|CD36+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”, respectively. Gates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A-C)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were transferred to all samples acquired on the flow cytometer during the same analysis day and done for each analysis day separately.</w:t>
      </w:r>
    </w:p>
    <w:p w14:paraId="4B07C343" w14:textId="77777777" w:rsidR="00A0701F" w:rsidRPr="00273F32" w:rsidRDefault="00A0701F" w:rsidP="00A0701F">
      <w:pPr>
        <w:rPr>
          <w:lang w:val="en-GB"/>
        </w:rPr>
      </w:pPr>
    </w:p>
    <w:p w14:paraId="03DABE8E" w14:textId="77777777" w:rsidR="00A0701F" w:rsidRPr="00273F32" w:rsidRDefault="00A0701F" w:rsidP="00A0701F">
      <w:pPr>
        <w:rPr>
          <w:lang w:val="en-GB"/>
        </w:rPr>
      </w:pPr>
      <w:r w:rsidRPr="00273F32">
        <w:rPr>
          <w:lang w:val="en-GB"/>
        </w:rPr>
        <w:br w:type="page"/>
      </w:r>
    </w:p>
    <w:p w14:paraId="79CCFF8F" w14:textId="77777777" w:rsidR="00A0701F" w:rsidRPr="00273F32" w:rsidRDefault="00A0701F" w:rsidP="00A0701F">
      <w:pPr>
        <w:rPr>
          <w:lang w:val="en-GB"/>
        </w:rPr>
      </w:pPr>
      <w:r w:rsidRPr="00273F32">
        <w:rPr>
          <w:noProof/>
          <w:lang w:val="en-GB" w:eastAsia="da-DK"/>
        </w:rPr>
        <w:lastRenderedPageBreak/>
        <w:drawing>
          <wp:inline distT="0" distB="0" distL="0" distR="0" wp14:anchorId="3C36B150" wp14:editId="193D1538">
            <wp:extent cx="5728970" cy="8863330"/>
            <wp:effectExtent l="0" t="0" r="508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897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51712" w14:textId="77777777" w:rsidR="00A0701F" w:rsidRPr="00273F32" w:rsidRDefault="00A0701F" w:rsidP="00A0701F">
      <w:pPr>
        <w:rPr>
          <w:lang w:val="en-GB"/>
        </w:rPr>
      </w:pP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lastRenderedPageBreak/>
        <w:t xml:space="preserve">Fig. S3: Specific EV-defining gating strategy for </w:t>
      </w:r>
      <w:proofErr w:type="spellStart"/>
      <w:r w:rsidR="004A0EE0"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ImageStream</w:t>
      </w:r>
      <w:proofErr w:type="spellEnd"/>
      <w:r w:rsidR="004A0EE0"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 xml:space="preserve"> X Mk II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. A)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An EV size gate was established on the 99th percentile of green fluorescent 1000nm silica nanospheres (RI 1.4696 @ </w:t>
      </w:r>
      <w:r w:rsidRPr="00273F32">
        <w:rPr>
          <w:rFonts w:ascii="Calibri" w:eastAsia="Times New Roman" w:hAnsi="Calibri" w:cs="Calibri"/>
          <w:i/>
          <w:iCs/>
          <w:color w:val="000000"/>
          <w:sz w:val="24"/>
          <w:szCs w:val="24"/>
          <w:lang w:val="en-GB"/>
        </w:rPr>
        <w:t>λ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= 405nm) outside of the counting bead gate on 405nm SSC.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B)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On events within the EV size gate in an unlabelled PPP sample, a gate was established on the 99th percentile in the FITC channel above the green triggering threshold to define </w:t>
      </w:r>
      <w:proofErr w:type="spellStart"/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>lactadherin</w:t>
      </w:r>
      <w:proofErr w:type="spellEnd"/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-binding phosphatidylserine (PS)+ events.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C)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On PS+ events in a PPP sample stained with isotype control antibodies, quadrant gates were established on the 99th percentiles of events in the APC vs. PE channels to define different combinations of CD41+/- and CD36+/- events, respectively. Gates </w:t>
      </w:r>
      <w:r w:rsidRPr="00273F32">
        <w:rPr>
          <w:rFonts w:ascii="Calibri" w:eastAsia="Times New Roman" w:hAnsi="Calibri" w:cs="Calibri"/>
          <w:b/>
          <w:bCs/>
          <w:color w:val="000000"/>
          <w:sz w:val="24"/>
          <w:szCs w:val="24"/>
          <w:lang w:val="en-GB"/>
        </w:rPr>
        <w:t>A-C)</w:t>
      </w:r>
      <w:r w:rsidRPr="00273F32">
        <w:rPr>
          <w:rFonts w:ascii="Calibri" w:eastAsia="Times New Roman" w:hAnsi="Calibri" w:cs="Calibri"/>
          <w:color w:val="000000"/>
          <w:sz w:val="24"/>
          <w:szCs w:val="24"/>
          <w:lang w:val="en-GB"/>
        </w:rPr>
        <w:t xml:space="preserve"> were transferred to all samples.</w:t>
      </w:r>
    </w:p>
    <w:p w14:paraId="4F02ECC6" w14:textId="77777777" w:rsidR="00A0701F" w:rsidRPr="00273F32" w:rsidRDefault="00A0701F" w:rsidP="00A0701F">
      <w:pPr>
        <w:rPr>
          <w:lang w:val="en-GB"/>
        </w:rPr>
      </w:pPr>
      <w:r w:rsidRPr="00273F32">
        <w:rPr>
          <w:lang w:val="en-GB"/>
        </w:rPr>
        <w:br w:type="page"/>
      </w:r>
    </w:p>
    <w:p w14:paraId="5EA7CE75" w14:textId="77777777" w:rsidR="00A0701F" w:rsidRPr="00273F32" w:rsidRDefault="00A0701F" w:rsidP="00A0701F">
      <w:pPr>
        <w:rPr>
          <w:lang w:val="en-GB"/>
        </w:rPr>
      </w:pPr>
      <w:r w:rsidRPr="00273F32">
        <w:rPr>
          <w:noProof/>
          <w:lang w:val="en-GB" w:eastAsia="da-DK"/>
        </w:rPr>
        <w:lastRenderedPageBreak/>
        <w:drawing>
          <wp:inline distT="0" distB="0" distL="0" distR="0" wp14:anchorId="7D62FF5E" wp14:editId="59EBAAF7">
            <wp:extent cx="5731510" cy="7847965"/>
            <wp:effectExtent l="0" t="0" r="2540" b="635"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84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83711" w14:textId="77777777" w:rsidR="00A63F04" w:rsidRPr="00273F32" w:rsidRDefault="00A63F04">
      <w:pPr>
        <w:rPr>
          <w:lang w:val="en-GB"/>
        </w:rPr>
      </w:pPr>
      <w:r w:rsidRPr="00273F32">
        <w:rPr>
          <w:lang w:val="en-GB"/>
        </w:rPr>
        <w:br w:type="page"/>
      </w:r>
    </w:p>
    <w:p w14:paraId="5E557BD6" w14:textId="3706C5B7" w:rsidR="00A0701F" w:rsidRPr="00273F32" w:rsidRDefault="00A0701F" w:rsidP="00A0701F">
      <w:pPr>
        <w:rPr>
          <w:lang w:val="en-GB"/>
        </w:rPr>
      </w:pPr>
      <w:r w:rsidRPr="00273F32">
        <w:rPr>
          <w:b/>
          <w:lang w:val="en-GB"/>
        </w:rPr>
        <w:lastRenderedPageBreak/>
        <w:t>Fig. S</w:t>
      </w:r>
      <w:r w:rsidR="00E36D02">
        <w:rPr>
          <w:b/>
          <w:lang w:val="en-DK"/>
        </w:rPr>
        <w:t>4</w:t>
      </w:r>
      <w:r w:rsidR="00A63F04" w:rsidRPr="00273F32">
        <w:rPr>
          <w:b/>
          <w:lang w:val="en-GB"/>
        </w:rPr>
        <w:t xml:space="preserve">: </w:t>
      </w:r>
      <w:r w:rsidR="009F71B5" w:rsidRPr="00273F32">
        <w:rPr>
          <w:b/>
          <w:lang w:val="en-GB"/>
        </w:rPr>
        <w:t>Controls for presence of EVs for data collected on FACS Aria III. A-T)</w:t>
      </w:r>
      <w:r w:rsidR="009F71B5" w:rsidRPr="00273F32">
        <w:rPr>
          <w:lang w:val="en-GB"/>
        </w:rPr>
        <w:t xml:space="preserve"> Scatterplots and histograms depicting differences in signals in the </w:t>
      </w:r>
      <w:r w:rsidR="009F71B5" w:rsidRPr="00273F32">
        <w:rPr>
          <w:b/>
          <w:lang w:val="en-GB"/>
        </w:rPr>
        <w:t>A-H)</w:t>
      </w:r>
      <w:r w:rsidR="009F71B5" w:rsidRPr="00273F32">
        <w:rPr>
          <w:lang w:val="en-GB"/>
        </w:rPr>
        <w:t xml:space="preserve"> </w:t>
      </w:r>
      <w:proofErr w:type="spellStart"/>
      <w:r w:rsidR="009F71B5" w:rsidRPr="00273F32">
        <w:rPr>
          <w:lang w:val="en-GB"/>
        </w:rPr>
        <w:t>phosphatidyserine</w:t>
      </w:r>
      <w:proofErr w:type="spellEnd"/>
      <w:r w:rsidR="009F71B5" w:rsidRPr="00273F32">
        <w:rPr>
          <w:lang w:val="en-GB"/>
        </w:rPr>
        <w:t xml:space="preserve">-FITC and </w:t>
      </w:r>
      <w:r w:rsidR="009F71B5" w:rsidRPr="00273F32">
        <w:rPr>
          <w:b/>
          <w:lang w:val="en-GB"/>
        </w:rPr>
        <w:t>I-T)</w:t>
      </w:r>
      <w:r w:rsidR="009F71B5" w:rsidRPr="00273F32">
        <w:rPr>
          <w:lang w:val="en-GB"/>
        </w:rPr>
        <w:t xml:space="preserve"> CD41-APC and CD36-PE channels between </w:t>
      </w:r>
      <w:r w:rsidR="009F71B5" w:rsidRPr="00273F32">
        <w:rPr>
          <w:b/>
          <w:lang w:val="en-GB"/>
        </w:rPr>
        <w:t>A, E, I, M, Q)</w:t>
      </w:r>
      <w:r w:rsidR="009F71B5" w:rsidRPr="00273F32">
        <w:rPr>
          <w:lang w:val="en-GB"/>
        </w:rPr>
        <w:t xml:space="preserve"> PPP stained with specific antibody mixture, </w:t>
      </w:r>
      <w:r w:rsidR="009F71B5" w:rsidRPr="00273F32">
        <w:rPr>
          <w:b/>
          <w:lang w:val="en-GB"/>
        </w:rPr>
        <w:t>B, F, J, N, R)</w:t>
      </w:r>
      <w:r w:rsidR="009F71B5" w:rsidRPr="00273F32">
        <w:rPr>
          <w:lang w:val="en-GB"/>
        </w:rPr>
        <w:t xml:space="preserve"> stained PPP after lysing with Triton X-100, </w:t>
      </w:r>
      <w:r w:rsidR="009F71B5" w:rsidRPr="00273F32">
        <w:rPr>
          <w:b/>
          <w:lang w:val="en-GB"/>
        </w:rPr>
        <w:t>C, G, K, O, S)</w:t>
      </w:r>
      <w:r w:rsidR="009F71B5" w:rsidRPr="00273F32">
        <w:rPr>
          <w:lang w:val="en-GB"/>
        </w:rPr>
        <w:t xml:space="preserve"> buffer labelled with specific antibody, and </w:t>
      </w:r>
      <w:r w:rsidR="009F71B5" w:rsidRPr="00273F32">
        <w:rPr>
          <w:b/>
          <w:lang w:val="en-GB"/>
        </w:rPr>
        <w:t>D, H, L, P, T)</w:t>
      </w:r>
      <w:r w:rsidR="009F71B5" w:rsidRPr="00273F32">
        <w:rPr>
          <w:lang w:val="en-GB"/>
        </w:rPr>
        <w:t xml:space="preserve"> unstained PPP. </w:t>
      </w:r>
      <w:r w:rsidR="009F71B5" w:rsidRPr="00273F32">
        <w:rPr>
          <w:b/>
          <w:lang w:val="en-GB"/>
        </w:rPr>
        <w:t>U-X)</w:t>
      </w:r>
      <w:r w:rsidR="009F71B5" w:rsidRPr="00273F32">
        <w:rPr>
          <w:lang w:val="en-GB"/>
        </w:rPr>
        <w:t xml:space="preserve"> Depiction of concentrations differences of </w:t>
      </w:r>
      <w:r w:rsidR="009F71B5" w:rsidRPr="00273F32">
        <w:rPr>
          <w:b/>
          <w:lang w:val="en-GB"/>
        </w:rPr>
        <w:t>U)</w:t>
      </w:r>
      <w:r w:rsidR="009F71B5" w:rsidRPr="00273F32">
        <w:rPr>
          <w:lang w:val="en-GB"/>
        </w:rPr>
        <w:t xml:space="preserve"> PS+, </w:t>
      </w:r>
      <w:r w:rsidR="009F71B5" w:rsidRPr="00273F32">
        <w:rPr>
          <w:b/>
          <w:lang w:val="en-GB"/>
        </w:rPr>
        <w:t>V)</w:t>
      </w:r>
      <w:r w:rsidR="009F71B5" w:rsidRPr="00273F32">
        <w:rPr>
          <w:lang w:val="en-GB"/>
        </w:rPr>
        <w:t xml:space="preserve"> PS+|CD41+, </w:t>
      </w:r>
      <w:r w:rsidR="009F71B5" w:rsidRPr="00273F32">
        <w:rPr>
          <w:b/>
          <w:lang w:val="en-GB"/>
        </w:rPr>
        <w:t>W)</w:t>
      </w:r>
      <w:r w:rsidR="009F71B5" w:rsidRPr="00273F32">
        <w:rPr>
          <w:lang w:val="en-GB"/>
        </w:rPr>
        <w:t xml:space="preserve"> PS+|CD36+, and </w:t>
      </w:r>
      <w:r w:rsidR="009F71B5" w:rsidRPr="00273F32">
        <w:rPr>
          <w:b/>
          <w:lang w:val="en-GB"/>
        </w:rPr>
        <w:t>X)</w:t>
      </w:r>
      <w:r w:rsidR="009F71B5" w:rsidRPr="00273F32">
        <w:rPr>
          <w:lang w:val="en-GB"/>
        </w:rPr>
        <w:t xml:space="preserve"> PS+|CD41+|CD36+ events.</w:t>
      </w:r>
    </w:p>
    <w:p w14:paraId="107CB9D4" w14:textId="77777777" w:rsidR="00A0701F" w:rsidRPr="00273F32" w:rsidRDefault="00A0701F" w:rsidP="00A0701F">
      <w:pPr>
        <w:rPr>
          <w:lang w:val="en-GB"/>
        </w:rPr>
      </w:pPr>
      <w:r w:rsidRPr="00273F32">
        <w:rPr>
          <w:lang w:val="en-GB"/>
        </w:rPr>
        <w:br w:type="page"/>
      </w:r>
    </w:p>
    <w:p w14:paraId="1BF1C1E0" w14:textId="77777777" w:rsidR="00A0701F" w:rsidRPr="00273F32" w:rsidRDefault="00A0701F" w:rsidP="00A0701F">
      <w:pPr>
        <w:rPr>
          <w:lang w:val="en-GB"/>
        </w:rPr>
      </w:pPr>
      <w:r w:rsidRPr="00273F32">
        <w:rPr>
          <w:noProof/>
          <w:lang w:val="en-GB" w:eastAsia="da-DK"/>
        </w:rPr>
        <w:lastRenderedPageBreak/>
        <w:drawing>
          <wp:inline distT="0" distB="0" distL="0" distR="0" wp14:anchorId="410A9C46" wp14:editId="4F19FB67">
            <wp:extent cx="5731510" cy="7847965"/>
            <wp:effectExtent l="0" t="0" r="2540" b="635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84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76945" w14:textId="77777777" w:rsidR="009F71B5" w:rsidRPr="00273F32" w:rsidRDefault="009F71B5">
      <w:pPr>
        <w:rPr>
          <w:lang w:val="en-GB"/>
        </w:rPr>
      </w:pPr>
      <w:r w:rsidRPr="00273F32">
        <w:rPr>
          <w:lang w:val="en-GB"/>
        </w:rPr>
        <w:br w:type="page"/>
      </w:r>
    </w:p>
    <w:p w14:paraId="457E4D10" w14:textId="77777777" w:rsidR="00A0701F" w:rsidRPr="00273F32" w:rsidRDefault="009F71B5" w:rsidP="00A0701F">
      <w:pPr>
        <w:rPr>
          <w:lang w:val="en-GB"/>
        </w:rPr>
      </w:pPr>
      <w:r w:rsidRPr="00273F32">
        <w:rPr>
          <w:b/>
          <w:lang w:val="en-GB"/>
        </w:rPr>
        <w:lastRenderedPageBreak/>
        <w:t>Fig. S5: Controls for presence of EVs for data collected on Apogee A60 Micro-PLUS. A-T)</w:t>
      </w:r>
      <w:r w:rsidRPr="00273F32">
        <w:rPr>
          <w:lang w:val="en-GB"/>
        </w:rPr>
        <w:t xml:space="preserve"> Scatterplots and histograms depicting differences in signals in the </w:t>
      </w:r>
      <w:r w:rsidRPr="00273F32">
        <w:rPr>
          <w:b/>
          <w:lang w:val="en-GB"/>
        </w:rPr>
        <w:t>A-H)</w:t>
      </w:r>
      <w:r w:rsidRPr="00273F32">
        <w:rPr>
          <w:lang w:val="en-GB"/>
        </w:rPr>
        <w:t xml:space="preserve"> </w:t>
      </w:r>
      <w:proofErr w:type="spellStart"/>
      <w:r w:rsidRPr="00273F32">
        <w:rPr>
          <w:lang w:val="en-GB"/>
        </w:rPr>
        <w:t>phosphatidyserine</w:t>
      </w:r>
      <w:proofErr w:type="spellEnd"/>
      <w:r w:rsidRPr="00273F32">
        <w:rPr>
          <w:lang w:val="en-GB"/>
        </w:rPr>
        <w:t xml:space="preserve">-FITC and </w:t>
      </w:r>
      <w:r w:rsidRPr="00273F32">
        <w:rPr>
          <w:b/>
          <w:lang w:val="en-GB"/>
        </w:rPr>
        <w:t>I-T)</w:t>
      </w:r>
      <w:r w:rsidRPr="00273F32">
        <w:rPr>
          <w:lang w:val="en-GB"/>
        </w:rPr>
        <w:t xml:space="preserve"> CD41-APC and CD36-PE channels between </w:t>
      </w:r>
      <w:r w:rsidRPr="00273F32">
        <w:rPr>
          <w:b/>
          <w:lang w:val="en-GB"/>
        </w:rPr>
        <w:t>A, E, I, M, Q)</w:t>
      </w:r>
      <w:r w:rsidRPr="00273F32">
        <w:rPr>
          <w:lang w:val="en-GB"/>
        </w:rPr>
        <w:t xml:space="preserve"> PPP stained with specific antibody mixture, </w:t>
      </w:r>
      <w:r w:rsidRPr="00273F32">
        <w:rPr>
          <w:b/>
          <w:lang w:val="en-GB"/>
        </w:rPr>
        <w:t>B, F, J, N, R)</w:t>
      </w:r>
      <w:r w:rsidRPr="00273F32">
        <w:rPr>
          <w:lang w:val="en-GB"/>
        </w:rPr>
        <w:t xml:space="preserve"> stained PPP after lysing with Triton X-100, </w:t>
      </w:r>
      <w:r w:rsidRPr="00273F32">
        <w:rPr>
          <w:b/>
          <w:lang w:val="en-GB"/>
        </w:rPr>
        <w:t>C, G, K, O, S)</w:t>
      </w:r>
      <w:r w:rsidRPr="00273F32">
        <w:rPr>
          <w:lang w:val="en-GB"/>
        </w:rPr>
        <w:t xml:space="preserve"> buffer labelled with specific antibody, and </w:t>
      </w:r>
      <w:r w:rsidRPr="00273F32">
        <w:rPr>
          <w:b/>
          <w:lang w:val="en-GB"/>
        </w:rPr>
        <w:t>D, H, L, P, T)</w:t>
      </w:r>
      <w:r w:rsidRPr="00273F32">
        <w:rPr>
          <w:lang w:val="en-GB"/>
        </w:rPr>
        <w:t xml:space="preserve"> unstained PPP. </w:t>
      </w:r>
      <w:r w:rsidRPr="00273F32">
        <w:rPr>
          <w:b/>
          <w:lang w:val="en-GB"/>
        </w:rPr>
        <w:t>U-X)</w:t>
      </w:r>
      <w:r w:rsidRPr="00273F32">
        <w:rPr>
          <w:lang w:val="en-GB"/>
        </w:rPr>
        <w:t xml:space="preserve"> Depiction of concentrations differences of </w:t>
      </w:r>
      <w:r w:rsidRPr="00273F32">
        <w:rPr>
          <w:b/>
          <w:lang w:val="en-GB"/>
        </w:rPr>
        <w:t>U)</w:t>
      </w:r>
      <w:r w:rsidRPr="00273F32">
        <w:rPr>
          <w:lang w:val="en-GB"/>
        </w:rPr>
        <w:t xml:space="preserve"> PS+, </w:t>
      </w:r>
      <w:r w:rsidRPr="00273F32">
        <w:rPr>
          <w:b/>
          <w:lang w:val="en-GB"/>
        </w:rPr>
        <w:t>V)</w:t>
      </w:r>
      <w:r w:rsidRPr="00273F32">
        <w:rPr>
          <w:lang w:val="en-GB"/>
        </w:rPr>
        <w:t xml:space="preserve"> PS+|CD41+, </w:t>
      </w:r>
      <w:r w:rsidRPr="00273F32">
        <w:rPr>
          <w:b/>
          <w:lang w:val="en-GB"/>
        </w:rPr>
        <w:t>W)</w:t>
      </w:r>
      <w:r w:rsidRPr="00273F32">
        <w:rPr>
          <w:lang w:val="en-GB"/>
        </w:rPr>
        <w:t xml:space="preserve"> PS+|CD36+, and </w:t>
      </w:r>
      <w:r w:rsidRPr="00273F32">
        <w:rPr>
          <w:b/>
          <w:lang w:val="en-GB"/>
        </w:rPr>
        <w:t>X)</w:t>
      </w:r>
      <w:r w:rsidRPr="00273F32">
        <w:rPr>
          <w:lang w:val="en-GB"/>
        </w:rPr>
        <w:t xml:space="preserve"> PS+|CD41+|CD36+ events.</w:t>
      </w:r>
      <w:r w:rsidR="00A0701F" w:rsidRPr="00273F32">
        <w:rPr>
          <w:lang w:val="en-GB"/>
        </w:rPr>
        <w:br w:type="page"/>
      </w:r>
    </w:p>
    <w:p w14:paraId="195F4637" w14:textId="77777777" w:rsidR="00A0701F" w:rsidRPr="00273F32" w:rsidRDefault="00A0701F" w:rsidP="00A0701F">
      <w:pPr>
        <w:rPr>
          <w:lang w:val="en-GB"/>
        </w:rPr>
      </w:pPr>
      <w:r w:rsidRPr="00273F32">
        <w:rPr>
          <w:noProof/>
          <w:lang w:val="en-GB" w:eastAsia="da-DK"/>
        </w:rPr>
        <w:lastRenderedPageBreak/>
        <w:drawing>
          <wp:inline distT="0" distB="0" distL="0" distR="0" wp14:anchorId="32CE6D52" wp14:editId="3444A088">
            <wp:extent cx="5731510" cy="7847965"/>
            <wp:effectExtent l="0" t="0" r="2540" b="635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84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1578EE" w14:textId="77777777" w:rsidR="004021B3" w:rsidRPr="00273F32" w:rsidRDefault="004021B3">
      <w:pPr>
        <w:rPr>
          <w:lang w:val="en-GB"/>
        </w:rPr>
      </w:pPr>
      <w:r w:rsidRPr="00273F32">
        <w:rPr>
          <w:lang w:val="en-GB"/>
        </w:rPr>
        <w:br w:type="page"/>
      </w:r>
    </w:p>
    <w:p w14:paraId="0DCD3135" w14:textId="20F48111" w:rsidR="004021B3" w:rsidRPr="00273F32" w:rsidRDefault="004021B3" w:rsidP="004021B3">
      <w:pPr>
        <w:rPr>
          <w:lang w:val="en-GB"/>
        </w:rPr>
      </w:pPr>
      <w:r w:rsidRPr="00273F32">
        <w:rPr>
          <w:b/>
          <w:lang w:val="en-GB"/>
        </w:rPr>
        <w:lastRenderedPageBreak/>
        <w:t>Fig. S</w:t>
      </w:r>
      <w:r w:rsidR="00E36D02">
        <w:rPr>
          <w:b/>
          <w:lang w:val="en-DK"/>
        </w:rPr>
        <w:t>6</w:t>
      </w:r>
      <w:r w:rsidRPr="00273F32">
        <w:rPr>
          <w:b/>
          <w:lang w:val="en-GB"/>
        </w:rPr>
        <w:t xml:space="preserve">: Controls for presence of EVs for data collected on </w:t>
      </w:r>
      <w:proofErr w:type="spellStart"/>
      <w:r w:rsidRPr="00273F32">
        <w:rPr>
          <w:b/>
          <w:lang w:val="en-GB"/>
        </w:rPr>
        <w:t>ImageStream</w:t>
      </w:r>
      <w:proofErr w:type="spellEnd"/>
      <w:r w:rsidRPr="00273F32">
        <w:rPr>
          <w:b/>
          <w:lang w:val="en-GB"/>
        </w:rPr>
        <w:t xml:space="preserve"> X Mk II. A-T)</w:t>
      </w:r>
      <w:r w:rsidRPr="00273F32">
        <w:rPr>
          <w:lang w:val="en-GB"/>
        </w:rPr>
        <w:t xml:space="preserve"> Scatterplots and histograms depicting differences in signals in the </w:t>
      </w:r>
      <w:r w:rsidRPr="00273F32">
        <w:rPr>
          <w:b/>
          <w:lang w:val="en-GB"/>
        </w:rPr>
        <w:t>A-H)</w:t>
      </w:r>
      <w:r w:rsidRPr="00273F32">
        <w:rPr>
          <w:lang w:val="en-GB"/>
        </w:rPr>
        <w:t xml:space="preserve"> </w:t>
      </w:r>
      <w:proofErr w:type="spellStart"/>
      <w:r w:rsidRPr="00273F32">
        <w:rPr>
          <w:lang w:val="en-GB"/>
        </w:rPr>
        <w:t>phosphatidyserine</w:t>
      </w:r>
      <w:proofErr w:type="spellEnd"/>
      <w:r w:rsidRPr="00273F32">
        <w:rPr>
          <w:lang w:val="en-GB"/>
        </w:rPr>
        <w:t xml:space="preserve">-FITC and </w:t>
      </w:r>
      <w:r w:rsidRPr="00273F32">
        <w:rPr>
          <w:b/>
          <w:lang w:val="en-GB"/>
        </w:rPr>
        <w:t>I-T)</w:t>
      </w:r>
      <w:r w:rsidRPr="00273F32">
        <w:rPr>
          <w:lang w:val="en-GB"/>
        </w:rPr>
        <w:t xml:space="preserve"> CD41-APC and CD36-PE channels between </w:t>
      </w:r>
      <w:r w:rsidRPr="00273F32">
        <w:rPr>
          <w:b/>
          <w:lang w:val="en-GB"/>
        </w:rPr>
        <w:t>A, E, I, M, Q)</w:t>
      </w:r>
      <w:r w:rsidRPr="00273F32">
        <w:rPr>
          <w:lang w:val="en-GB"/>
        </w:rPr>
        <w:t xml:space="preserve"> PPP stained with specific antibody mixture, </w:t>
      </w:r>
      <w:r w:rsidRPr="00273F32">
        <w:rPr>
          <w:b/>
          <w:lang w:val="en-GB"/>
        </w:rPr>
        <w:t>B, F, J, N, R)</w:t>
      </w:r>
      <w:r w:rsidRPr="00273F32">
        <w:rPr>
          <w:lang w:val="en-GB"/>
        </w:rPr>
        <w:t xml:space="preserve"> stained PPP after lysing with Triton X-100, </w:t>
      </w:r>
      <w:r w:rsidRPr="00273F32">
        <w:rPr>
          <w:b/>
          <w:lang w:val="en-GB"/>
        </w:rPr>
        <w:t>C, G, K, O, S)</w:t>
      </w:r>
      <w:r w:rsidRPr="00273F32">
        <w:rPr>
          <w:lang w:val="en-GB"/>
        </w:rPr>
        <w:t xml:space="preserve"> buffer labelled with specific antibody, and </w:t>
      </w:r>
      <w:r w:rsidRPr="00273F32">
        <w:rPr>
          <w:b/>
          <w:lang w:val="en-GB"/>
        </w:rPr>
        <w:t>D, H, L, P, T)</w:t>
      </w:r>
      <w:r w:rsidRPr="00273F32">
        <w:rPr>
          <w:lang w:val="en-GB"/>
        </w:rPr>
        <w:t xml:space="preserve"> unstained PPP. </w:t>
      </w:r>
      <w:r w:rsidRPr="00273F32">
        <w:rPr>
          <w:b/>
          <w:lang w:val="en-GB"/>
        </w:rPr>
        <w:t>U-X)</w:t>
      </w:r>
      <w:r w:rsidRPr="00273F32">
        <w:rPr>
          <w:lang w:val="en-GB"/>
        </w:rPr>
        <w:t xml:space="preserve"> Depiction of concentrations differences of </w:t>
      </w:r>
      <w:r w:rsidRPr="00273F32">
        <w:rPr>
          <w:b/>
          <w:lang w:val="en-GB"/>
        </w:rPr>
        <w:t>U)</w:t>
      </w:r>
      <w:r w:rsidRPr="00273F32">
        <w:rPr>
          <w:lang w:val="en-GB"/>
        </w:rPr>
        <w:t xml:space="preserve"> PS+, </w:t>
      </w:r>
      <w:r w:rsidRPr="00273F32">
        <w:rPr>
          <w:b/>
          <w:lang w:val="en-GB"/>
        </w:rPr>
        <w:t>V)</w:t>
      </w:r>
      <w:r w:rsidRPr="00273F32">
        <w:rPr>
          <w:lang w:val="en-GB"/>
        </w:rPr>
        <w:t xml:space="preserve"> PS+|CD41+, </w:t>
      </w:r>
      <w:r w:rsidRPr="00273F32">
        <w:rPr>
          <w:b/>
          <w:lang w:val="en-GB"/>
        </w:rPr>
        <w:t>W)</w:t>
      </w:r>
      <w:r w:rsidRPr="00273F32">
        <w:rPr>
          <w:lang w:val="en-GB"/>
        </w:rPr>
        <w:t xml:space="preserve"> PS+|CD36+, and </w:t>
      </w:r>
      <w:r w:rsidRPr="00273F32">
        <w:rPr>
          <w:b/>
          <w:lang w:val="en-GB"/>
        </w:rPr>
        <w:t>X)</w:t>
      </w:r>
      <w:r w:rsidRPr="00273F32">
        <w:rPr>
          <w:lang w:val="en-GB"/>
        </w:rPr>
        <w:t xml:space="preserve"> PS+|CD41+|CD36+ events.</w:t>
      </w:r>
    </w:p>
    <w:p w14:paraId="13E583B7" w14:textId="77777777" w:rsidR="00A0701F" w:rsidRPr="00273F32" w:rsidRDefault="00A0701F" w:rsidP="00A0701F">
      <w:pPr>
        <w:rPr>
          <w:lang w:val="en-GB"/>
        </w:rPr>
      </w:pPr>
    </w:p>
    <w:p w14:paraId="66FAC591" w14:textId="77777777" w:rsidR="00A0701F" w:rsidRPr="00273F32" w:rsidRDefault="00A0701F" w:rsidP="00A0701F">
      <w:pPr>
        <w:rPr>
          <w:lang w:val="en-GB"/>
        </w:rPr>
      </w:pPr>
      <w:r w:rsidRPr="00273F32">
        <w:rPr>
          <w:lang w:val="en-GB"/>
        </w:rPr>
        <w:br w:type="page"/>
      </w:r>
    </w:p>
    <w:p w14:paraId="073E3895" w14:textId="77777777" w:rsidR="00A0701F" w:rsidRPr="00273F32" w:rsidRDefault="00A0701F">
      <w:pPr>
        <w:rPr>
          <w:lang w:val="en-GB"/>
        </w:rPr>
      </w:pPr>
      <w:r w:rsidRPr="00273F32">
        <w:rPr>
          <w:noProof/>
          <w:lang w:val="en-GB" w:eastAsia="da-DK"/>
        </w:rPr>
        <w:lastRenderedPageBreak/>
        <w:drawing>
          <wp:inline distT="0" distB="0" distL="0" distR="0" wp14:anchorId="3ECC36B5" wp14:editId="3B5B99D7">
            <wp:extent cx="6120130" cy="3074670"/>
            <wp:effectExtent l="0" t="0" r="0" b="0"/>
            <wp:docPr id="9" name="Billed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07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D6B4A" w14:textId="1A322297" w:rsidR="00A0701F" w:rsidRPr="00273F32" w:rsidRDefault="00A0701F">
      <w:pPr>
        <w:rPr>
          <w:lang w:val="en-GB"/>
        </w:rPr>
      </w:pPr>
      <w:r w:rsidRPr="00221A62">
        <w:rPr>
          <w:b/>
          <w:lang w:val="en-GB"/>
        </w:rPr>
        <w:t>Fig S</w:t>
      </w:r>
      <w:r w:rsidR="00E36D02">
        <w:rPr>
          <w:b/>
          <w:lang w:val="en-DK"/>
        </w:rPr>
        <w:t>7</w:t>
      </w:r>
      <w:r w:rsidR="00863D66" w:rsidRPr="00221A62">
        <w:rPr>
          <w:b/>
          <w:lang w:val="en-GB"/>
        </w:rPr>
        <w:t xml:space="preserve">: </w:t>
      </w:r>
      <w:r w:rsidR="00273F32" w:rsidRPr="00221A62">
        <w:rPr>
          <w:b/>
          <w:lang w:val="en-GB"/>
        </w:rPr>
        <w:t>Contribution of background to the concentration of 100nm dimly fluorescent silica nanosphere</w:t>
      </w:r>
      <w:r w:rsidR="00A03023" w:rsidRPr="00221A62">
        <w:rPr>
          <w:b/>
          <w:lang w:val="en-GB"/>
        </w:rPr>
        <w:t>s on the Apogee A60 Micro-PLUS.</w:t>
      </w:r>
      <w:r w:rsidR="00A03023">
        <w:rPr>
          <w:lang w:val="en-GB"/>
        </w:rPr>
        <w:t xml:space="preserve"> The bulk of background is confined to </w:t>
      </w:r>
      <w:r w:rsidR="001D5140">
        <w:rPr>
          <w:lang w:val="en-GB"/>
        </w:rPr>
        <w:t>the lower end of the MALS parameter and can be enclosed in a square gate (B)</w:t>
      </w:r>
      <w:r w:rsidR="00B714E8">
        <w:rPr>
          <w:lang w:val="en-GB"/>
        </w:rPr>
        <w:t xml:space="preserve"> with only few events having higher values than the upper limit of this gate,</w:t>
      </w:r>
      <w:r w:rsidR="002E2309">
        <w:rPr>
          <w:lang w:val="en-GB"/>
        </w:rPr>
        <w:t xml:space="preserve"> as demonstrated in a buffer sample </w:t>
      </w:r>
      <w:r w:rsidR="002E2309" w:rsidRPr="00221A62">
        <w:rPr>
          <w:b/>
          <w:lang w:val="en-GB"/>
        </w:rPr>
        <w:t>(left panel)</w:t>
      </w:r>
      <w:r w:rsidR="002E2309">
        <w:rPr>
          <w:lang w:val="en-GB"/>
        </w:rPr>
        <w:t xml:space="preserve">. </w:t>
      </w:r>
      <w:r w:rsidR="00B714E8">
        <w:rPr>
          <w:lang w:val="en-GB"/>
        </w:rPr>
        <w:t>On the other hand, 100nm dimly fluorescent silica nanospheres</w:t>
      </w:r>
      <w:r w:rsidR="00170517">
        <w:rPr>
          <w:lang w:val="en-GB"/>
        </w:rPr>
        <w:t xml:space="preserve"> </w:t>
      </w:r>
      <w:r w:rsidR="00170517" w:rsidRPr="00221A62">
        <w:rPr>
          <w:b/>
          <w:lang w:val="en-GB"/>
        </w:rPr>
        <w:t>(right panel)</w:t>
      </w:r>
      <w:r w:rsidR="00B714E8">
        <w:rPr>
          <w:lang w:val="en-GB"/>
        </w:rPr>
        <w:t xml:space="preserve"> </w:t>
      </w:r>
      <w:r w:rsidR="00170517">
        <w:rPr>
          <w:lang w:val="en-GB"/>
        </w:rPr>
        <w:t xml:space="preserve">appear </w:t>
      </w:r>
      <w:r w:rsidR="00B714E8">
        <w:rPr>
          <w:lang w:val="en-GB"/>
        </w:rPr>
        <w:t>as a shoulder to this background population (</w:t>
      </w:r>
      <w:r w:rsidR="00170517">
        <w:rPr>
          <w:lang w:val="en-GB"/>
        </w:rPr>
        <w:t xml:space="preserve">S), which is not present in the buffer sample. Contribution of background to this population is minimal (100nm silica: 11750 </w:t>
      </w:r>
      <w:r w:rsidR="00170517">
        <w:rPr>
          <w:rFonts w:cstheme="minorHAnsi"/>
          <w:lang w:val="en-GB"/>
        </w:rPr>
        <w:t xml:space="preserve">± </w:t>
      </w:r>
      <w:r w:rsidR="00170517">
        <w:rPr>
          <w:lang w:val="en-GB"/>
        </w:rPr>
        <w:t xml:space="preserve">619 events/µL; PBS: 796 </w:t>
      </w:r>
      <w:r w:rsidR="00170517">
        <w:rPr>
          <w:rFonts w:cstheme="minorHAnsi"/>
          <w:lang w:val="en-GB"/>
        </w:rPr>
        <w:t>±</w:t>
      </w:r>
      <w:r w:rsidR="00170517">
        <w:rPr>
          <w:lang w:val="en-GB"/>
        </w:rPr>
        <w:t xml:space="preserve"> 619 events/µL).</w:t>
      </w:r>
    </w:p>
    <w:sectPr w:rsidR="00A0701F" w:rsidRPr="00273F32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3ED0"/>
    <w:rsid w:val="00043A25"/>
    <w:rsid w:val="00083ED0"/>
    <w:rsid w:val="00170517"/>
    <w:rsid w:val="001D5140"/>
    <w:rsid w:val="00221A62"/>
    <w:rsid w:val="0024785F"/>
    <w:rsid w:val="00273F32"/>
    <w:rsid w:val="00294C66"/>
    <w:rsid w:val="002E2309"/>
    <w:rsid w:val="003B26C7"/>
    <w:rsid w:val="004021B3"/>
    <w:rsid w:val="004A0EE0"/>
    <w:rsid w:val="006173D9"/>
    <w:rsid w:val="006A4CB4"/>
    <w:rsid w:val="00863D66"/>
    <w:rsid w:val="009F4A04"/>
    <w:rsid w:val="009F71B5"/>
    <w:rsid w:val="00A03023"/>
    <w:rsid w:val="00A0701F"/>
    <w:rsid w:val="00A63F04"/>
    <w:rsid w:val="00B714E8"/>
    <w:rsid w:val="00D47629"/>
    <w:rsid w:val="00E36D02"/>
    <w:rsid w:val="00F244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E5233F1"/>
  <w15:chartTrackingRefBased/>
  <w15:docId w15:val="{DFB621B6-EF35-4098-AD6B-D6CC1AF97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442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F24423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244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24423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F24423"/>
    <w:rPr>
      <w:rFonts w:eastAsiaTheme="minorEastAsia"/>
      <w:color w:val="5A5A5A" w:themeColor="text1" w:themeTint="A5"/>
      <w:spacing w:val="15"/>
    </w:rPr>
  </w:style>
  <w:style w:type="character" w:styleId="Hyperlink">
    <w:name w:val="Hyperlink"/>
    <w:basedOn w:val="DefaultParagraphFont"/>
    <w:uiPriority w:val="99"/>
    <w:unhideWhenUsed/>
    <w:rsid w:val="00F2442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mailto:j.botha@rn.dk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14</Pages>
  <Words>872</Words>
  <Characters>4971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Region Nordjylland</Company>
  <LinksUpToDate>false</LinksUpToDate>
  <CharactersWithSpaces>5832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Jaco Botha</dc:creator>
  <cp:keywords/>
  <dc:description/>
  <cp:lastModifiedBy>Jaco Botha</cp:lastModifiedBy>
  <cp:revision>18</cp:revision>
  <dcterms:created xsi:type="dcterms:W3CDTF">2019-10-29T12:51:00Z</dcterms:created>
  <dcterms:modified xsi:type="dcterms:W3CDTF">2020-12-21T16:59:00Z</dcterms:modified>
</cp:coreProperties>
</file>