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B4AE21" w14:textId="4DDDA3E0" w:rsidR="00207167" w:rsidRPr="007936D3" w:rsidRDefault="00F54158" w:rsidP="00F54158">
      <w:pPr>
        <w:rPr>
          <w:rFonts w:ascii="Palatino Linotype" w:hAnsi="Palatino Linotype" w:cs="Arial"/>
          <w:b/>
        </w:rPr>
      </w:pPr>
      <w:r w:rsidRPr="007936D3">
        <w:rPr>
          <w:rFonts w:ascii="Palatino Linotype" w:hAnsi="Palatino Linotype" w:cs="Arial"/>
          <w:b/>
        </w:rPr>
        <w:t xml:space="preserve">Supplementary </w:t>
      </w:r>
      <w:r w:rsidR="004C33BA" w:rsidRPr="007936D3">
        <w:rPr>
          <w:rFonts w:ascii="Palatino Linotype" w:hAnsi="Palatino Linotype" w:cs="Arial"/>
          <w:b/>
        </w:rPr>
        <w:t xml:space="preserve">Table </w:t>
      </w:r>
      <w:r w:rsidR="00701C50" w:rsidRPr="007936D3">
        <w:rPr>
          <w:rFonts w:ascii="Palatino Linotype" w:hAnsi="Palatino Linotype" w:cs="Arial"/>
          <w:b/>
        </w:rPr>
        <w:t>S</w:t>
      </w:r>
      <w:r w:rsidR="004C33BA" w:rsidRPr="007936D3">
        <w:rPr>
          <w:rFonts w:ascii="Palatino Linotype" w:hAnsi="Palatino Linotype" w:cs="Arial"/>
          <w:b/>
        </w:rPr>
        <w:t>1</w:t>
      </w:r>
      <w:r w:rsidR="004A4556" w:rsidRPr="007936D3">
        <w:rPr>
          <w:rFonts w:ascii="Palatino Linotype" w:hAnsi="Palatino Linotype" w:cs="Arial"/>
          <w:b/>
        </w:rPr>
        <w:t xml:space="preserve">. </w:t>
      </w:r>
      <w:r w:rsidR="00164144" w:rsidRPr="007936D3">
        <w:rPr>
          <w:rFonts w:ascii="Palatino Linotype" w:hAnsi="Palatino Linotype" w:cs="Arial"/>
          <w:b/>
        </w:rPr>
        <w:t xml:space="preserve">Generalized two, </w:t>
      </w:r>
      <w:r w:rsidR="004A4556" w:rsidRPr="007936D3">
        <w:rPr>
          <w:rFonts w:ascii="Palatino Linotype" w:hAnsi="Palatino Linotype" w:cs="Arial"/>
          <w:b/>
        </w:rPr>
        <w:t>three</w:t>
      </w:r>
      <w:r w:rsidR="00164144" w:rsidRPr="007936D3">
        <w:rPr>
          <w:rFonts w:ascii="Palatino Linotype" w:hAnsi="Palatino Linotype" w:cs="Arial"/>
          <w:b/>
        </w:rPr>
        <w:t>, and four</w:t>
      </w:r>
      <w:r w:rsidR="004A4556" w:rsidRPr="007936D3">
        <w:rPr>
          <w:rFonts w:ascii="Palatino Linotype" w:hAnsi="Palatino Linotype" w:cs="Arial"/>
          <w:b/>
        </w:rPr>
        <w:t xml:space="preserve"> receptor models default parameter values applied</w:t>
      </w:r>
      <w:r w:rsidR="007936D3">
        <w:rPr>
          <w:rFonts w:ascii="Palatino Linotype" w:hAnsi="Palatino Linotype" w:cs="Arial"/>
          <w:b/>
        </w:rPr>
        <w:t>.</w:t>
      </w:r>
    </w:p>
    <w:tbl>
      <w:tblPr>
        <w:tblStyle w:val="GridTable6Colorful"/>
        <w:tblW w:w="0" w:type="auto"/>
        <w:jc w:val="center"/>
        <w:tblBorders>
          <w:top w:val="single" w:sz="8" w:space="0" w:color="auto"/>
          <w:left w:val="none" w:sz="0" w:space="0" w:color="auto"/>
          <w:bottom w:val="single" w:sz="8"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81"/>
        <w:gridCol w:w="1923"/>
        <w:gridCol w:w="1716"/>
      </w:tblGrid>
      <w:tr w:rsidR="004A4556" w:rsidRPr="007936D3" w14:paraId="61D292F4" w14:textId="77777777" w:rsidTr="007936D3">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81" w:type="dxa"/>
            <w:tcBorders>
              <w:top w:val="single" w:sz="8" w:space="0" w:color="auto"/>
              <w:bottom w:val="single" w:sz="8" w:space="0" w:color="auto"/>
            </w:tcBorders>
            <w:shd w:val="clear" w:color="auto" w:fill="auto"/>
            <w:vAlign w:val="center"/>
          </w:tcPr>
          <w:p w14:paraId="4DB3C48B" w14:textId="780FAFB8" w:rsidR="004A4556" w:rsidRPr="007936D3" w:rsidRDefault="004A4556" w:rsidP="007936D3">
            <w:pPr>
              <w:pStyle w:val="NoSpacing"/>
              <w:autoSpaceDE w:val="0"/>
              <w:autoSpaceDN w:val="0"/>
              <w:adjustRightInd w:val="0"/>
              <w:snapToGrid w:val="0"/>
              <w:jc w:val="center"/>
              <w:rPr>
                <w:rFonts w:ascii="Palatino Linotype" w:hAnsi="Palatino Linotype" w:cs="Arial"/>
                <w:b w:val="0"/>
                <w:i/>
                <w:sz w:val="20"/>
              </w:rPr>
            </w:pPr>
            <w:r w:rsidRPr="007936D3">
              <w:rPr>
                <w:rFonts w:ascii="Palatino Linotype" w:hAnsi="Palatino Linotype" w:cs="Arial"/>
                <w:sz w:val="20"/>
              </w:rPr>
              <w:t>Parameter</w:t>
            </w:r>
            <w:r w:rsidR="007936D3" w:rsidRPr="007936D3">
              <w:rPr>
                <w:rFonts w:ascii="Palatino Linotype" w:hAnsi="Palatino Linotype" w:cs="Arial"/>
                <w:sz w:val="20"/>
              </w:rPr>
              <w:t>.</w:t>
            </w:r>
          </w:p>
        </w:tc>
        <w:tc>
          <w:tcPr>
            <w:tcW w:w="1923" w:type="dxa"/>
            <w:tcBorders>
              <w:top w:val="single" w:sz="8" w:space="0" w:color="auto"/>
              <w:bottom w:val="single" w:sz="8" w:space="0" w:color="auto"/>
            </w:tcBorders>
            <w:shd w:val="clear" w:color="auto" w:fill="auto"/>
            <w:vAlign w:val="center"/>
          </w:tcPr>
          <w:p w14:paraId="0487F525" w14:textId="104ECCA6" w:rsidR="004A4556" w:rsidRPr="007936D3" w:rsidRDefault="004A4556" w:rsidP="007936D3">
            <w:pPr>
              <w:pStyle w:val="NoSpacing"/>
              <w:autoSpaceDE w:val="0"/>
              <w:autoSpaceDN w:val="0"/>
              <w:adjustRightInd w:val="0"/>
              <w:snapToGrid w:val="0"/>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cs="Arial"/>
                <w:b w:val="0"/>
                <w:sz w:val="20"/>
              </w:rPr>
            </w:pPr>
            <w:r w:rsidRPr="007936D3">
              <w:rPr>
                <w:rFonts w:ascii="Palatino Linotype" w:hAnsi="Palatino Linotype" w:cs="Arial"/>
                <w:sz w:val="20"/>
              </w:rPr>
              <w:t>Value</w:t>
            </w:r>
          </w:p>
        </w:tc>
        <w:tc>
          <w:tcPr>
            <w:tcW w:w="1716" w:type="dxa"/>
            <w:tcBorders>
              <w:top w:val="single" w:sz="8" w:space="0" w:color="auto"/>
              <w:bottom w:val="single" w:sz="8" w:space="0" w:color="auto"/>
            </w:tcBorders>
            <w:shd w:val="clear" w:color="auto" w:fill="auto"/>
            <w:vAlign w:val="center"/>
          </w:tcPr>
          <w:p w14:paraId="6ED44E73" w14:textId="3A0DBC4B" w:rsidR="004A4556" w:rsidRPr="007936D3" w:rsidRDefault="004A4556" w:rsidP="007936D3">
            <w:pPr>
              <w:pStyle w:val="NoSpacing"/>
              <w:autoSpaceDE w:val="0"/>
              <w:autoSpaceDN w:val="0"/>
              <w:adjustRightInd w:val="0"/>
              <w:snapToGrid w:val="0"/>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cs="Arial"/>
                <w:b w:val="0"/>
                <w:sz w:val="20"/>
              </w:rPr>
            </w:pPr>
            <w:r w:rsidRPr="007936D3">
              <w:rPr>
                <w:rFonts w:ascii="Palatino Linotype" w:hAnsi="Palatino Linotype" w:cs="Arial"/>
                <w:sz w:val="20"/>
              </w:rPr>
              <w:t>Units</w:t>
            </w:r>
          </w:p>
        </w:tc>
      </w:tr>
      <w:tr w:rsidR="004A4556" w:rsidRPr="007936D3" w14:paraId="51046969" w14:textId="77777777" w:rsidTr="007936D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81" w:type="dxa"/>
            <w:tcBorders>
              <w:top w:val="single" w:sz="8" w:space="0" w:color="auto"/>
            </w:tcBorders>
            <w:shd w:val="clear" w:color="auto" w:fill="auto"/>
            <w:vAlign w:val="center"/>
          </w:tcPr>
          <w:p w14:paraId="665C7A2C" w14:textId="23B8DA2B" w:rsidR="004A4556" w:rsidRPr="007936D3" w:rsidRDefault="004A4556" w:rsidP="007936D3">
            <w:pPr>
              <w:pStyle w:val="NoSpacing"/>
              <w:autoSpaceDE w:val="0"/>
              <w:autoSpaceDN w:val="0"/>
              <w:adjustRightInd w:val="0"/>
              <w:snapToGrid w:val="0"/>
              <w:jc w:val="center"/>
              <w:rPr>
                <w:rFonts w:ascii="Palatino Linotype" w:hAnsi="Palatino Linotype" w:cs="Arial"/>
                <w:b w:val="0"/>
                <w:i/>
                <w:sz w:val="20"/>
              </w:rPr>
            </w:pPr>
            <w:proofErr w:type="spellStart"/>
            <w:r w:rsidRPr="007936D3">
              <w:rPr>
                <w:rFonts w:ascii="Palatino Linotype" w:hAnsi="Palatino Linotype" w:cs="Arial"/>
                <w:b w:val="0"/>
                <w:sz w:val="20"/>
              </w:rPr>
              <w:t>V</w:t>
            </w:r>
            <w:r w:rsidR="00FA03B1" w:rsidRPr="007936D3">
              <w:rPr>
                <w:rFonts w:ascii="Palatino Linotype" w:hAnsi="Palatino Linotype" w:cs="Arial"/>
                <w:b w:val="0"/>
                <w:sz w:val="20"/>
                <w:vertAlign w:val="subscript"/>
              </w:rPr>
              <w:t>ext</w:t>
            </w:r>
            <w:proofErr w:type="spellEnd"/>
          </w:p>
        </w:tc>
        <w:tc>
          <w:tcPr>
            <w:tcW w:w="1923" w:type="dxa"/>
            <w:tcBorders>
              <w:top w:val="single" w:sz="8" w:space="0" w:color="auto"/>
            </w:tcBorders>
            <w:shd w:val="clear" w:color="auto" w:fill="auto"/>
            <w:vAlign w:val="center"/>
          </w:tcPr>
          <w:p w14:paraId="04C7DA88" w14:textId="694D80D6" w:rsidR="004A4556" w:rsidRPr="007936D3" w:rsidRDefault="003E0A96" w:rsidP="007936D3">
            <w:pPr>
              <w:pStyle w:val="NoSpacing"/>
              <w:autoSpaceDE w:val="0"/>
              <w:autoSpaceDN w:val="0"/>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20"/>
                <w:vertAlign w:val="subscript"/>
              </w:rPr>
            </w:pPr>
            <w:r w:rsidRPr="007936D3">
              <w:rPr>
                <w:rFonts w:ascii="Palatino Linotype" w:hAnsi="Palatino Linotype" w:cs="Arial"/>
                <w:sz w:val="20"/>
              </w:rPr>
              <w:t>1.26 x 10</w:t>
            </w:r>
            <w:r w:rsidRPr="007936D3">
              <w:rPr>
                <w:rFonts w:ascii="Palatino Linotype" w:hAnsi="Palatino Linotype" w:cs="Arial"/>
                <w:sz w:val="20"/>
                <w:vertAlign w:val="superscript"/>
              </w:rPr>
              <w:t xml:space="preserve">-12 </w:t>
            </w:r>
            <w:r w:rsidR="005F02B4" w:rsidRPr="007936D3">
              <w:rPr>
                <w:rFonts w:ascii="Palatino Linotype" w:hAnsi="Palatino Linotype" w:cs="Arial"/>
                <w:sz w:val="20"/>
                <w:vertAlign w:val="superscript"/>
              </w:rPr>
              <w:t xml:space="preserve"> </w:t>
            </w:r>
            <w:r w:rsidR="005F02B4" w:rsidRPr="007936D3">
              <w:rPr>
                <w:rFonts w:ascii="Palatino Linotype" w:hAnsi="Palatino Linotype" w:cs="Arial"/>
                <w:sz w:val="20"/>
                <w:vertAlign w:val="superscript"/>
              </w:rPr>
              <w:fldChar w:fldCharType="begin" w:fldLock="1"/>
            </w:r>
            <w:r w:rsidR="00294EA1" w:rsidRPr="007936D3">
              <w:rPr>
                <w:rFonts w:ascii="Palatino Linotype" w:hAnsi="Palatino Linotype" w:cs="Arial"/>
                <w:color w:val="auto"/>
                <w:sz w:val="20"/>
                <w:vertAlign w:val="superscript"/>
              </w:rPr>
              <w:instrText>ADDIN CSL_CITATION {"citationItems":[{"id":"ITEM-1","itemData":{"DOI":"10.1152/ajpcell.00542.2006","ISSN":"0363-6143","abstract":"Vascular endothelial cells (ECs) modulate smooth muscle cell (SMC) contractility, assisting in vascular tone regulation. Cytosolic Ca(2+) concentration ([Ca(2+)](i)) and membrane potential (V(m)) play important roles in this process by controlling EC-dependent vasoactive signals and intercellular communication. The present mathematical model integrates plasmalemma electrophysiology and Ca(2+) dynamics to investigate EC responses to different stimuli and the controversial relationship between [Ca(2+)](i) and V(m). The model contains descriptions for the intracellular balance of major ionic species and the release of Ca(2+) from intracellular stores. It also expands previous formulations by including more detailed transmembrane current descriptions. The model reproduces V(m) responses to volume-regulated anion channel (VRAC) blockers and extracellular K(+) concentration ([K(+)](o)) challenges, predicting 1) that V(m) changes upon VRAC blockade are [K(+)](o) dependent and 2) a biphasic response of V(m) to increasing [K(+)](o). Simulations of agonist-induced Ca(2+) mobilization replicate experiments under control and V(m) hyperpolarization blockade conditions. They show that peak [Ca(2+)](i) is governed by store Ca(2+) release while Ca(2+) influx (and consequently V(m)) impacts more the resting and plateau [Ca(2+)](i). The V(m) sensitivity of rest and plateau [Ca(2+)](i) is dictated by a [Ca(2+)](i) \"buffering\" system capable of masking the V(m)-dependent transmembrane Ca(2+) influx. The model predicts plasma membrane Ca(2+)-ATPase and Ca(2+) permeability as main players in this process. The heterogeneous V(m) impact on [Ca(2+)](i) may elucidate conflicting reports on how V(m) influences EC Ca(2+). The present study forms the basis for the development of multicellular EC-SMC models that can assist in understanding vascular autoregulation in health and disease.","author":[{"dropping-particle":"","family":"Silva","given":"Haroldo S.","non-dropping-particle":"","parse-names":false,"suffix":""},{"dropping-particle":"","family":"Kapela","given":"Adam","non-dropping-particle":"","parse-names":false,"suffix":""},{"dropping-particle":"","family":"Tsoukias","given":"Nikolaos M.","non-dropping-particle":"","parse-names":false,"suffix":""}],"container-title":"American Journal of Physiology-Cell Physiology","id":"ITEM-1","issue":"1","issued":{"date-parts":[["2007"]]},"page":"C277-C293","title":"A mathematical model of plasma membrane electrophysiology and calcium dynamics in vascular endothelial cells","type":"article-journal","volume":"293"},"uris":["http://www.mendeley.com/documents/?uuid=4b61f284-acee-47d8-9779-ddc056550927"]}],"mendeley":{"formattedCitation":"[1]","plainTextFormattedCitation":"[1]","previouslyFormattedCitation":"[2]"},"properties":{"noteIndex":0},"schema":"https://github.com/citation-style-language/schema/raw/master/csl-citation.json"}</w:instrText>
            </w:r>
            <w:r w:rsidR="005F02B4" w:rsidRPr="007936D3">
              <w:rPr>
                <w:rFonts w:ascii="Palatino Linotype" w:hAnsi="Palatino Linotype" w:cs="Arial"/>
                <w:sz w:val="20"/>
                <w:vertAlign w:val="superscript"/>
              </w:rPr>
              <w:fldChar w:fldCharType="separate"/>
            </w:r>
            <w:r w:rsidR="00294EA1" w:rsidRPr="007936D3">
              <w:rPr>
                <w:rFonts w:ascii="Palatino Linotype" w:hAnsi="Palatino Linotype" w:cs="Arial"/>
                <w:noProof/>
                <w:color w:val="auto"/>
                <w:sz w:val="20"/>
              </w:rPr>
              <w:t>[1]</w:t>
            </w:r>
            <w:r w:rsidR="005F02B4" w:rsidRPr="007936D3">
              <w:rPr>
                <w:rFonts w:ascii="Palatino Linotype" w:hAnsi="Palatino Linotype" w:cs="Arial"/>
                <w:sz w:val="20"/>
                <w:vertAlign w:val="superscript"/>
              </w:rPr>
              <w:fldChar w:fldCharType="end"/>
            </w:r>
          </w:p>
        </w:tc>
        <w:tc>
          <w:tcPr>
            <w:tcW w:w="1716" w:type="dxa"/>
            <w:tcBorders>
              <w:top w:val="single" w:sz="8" w:space="0" w:color="auto"/>
            </w:tcBorders>
            <w:shd w:val="clear" w:color="auto" w:fill="auto"/>
            <w:vAlign w:val="center"/>
          </w:tcPr>
          <w:p w14:paraId="02174024" w14:textId="77777777" w:rsidR="004A4556" w:rsidRPr="007936D3" w:rsidRDefault="004A4556" w:rsidP="007936D3">
            <w:pPr>
              <w:pStyle w:val="NoSpacing"/>
              <w:autoSpaceDE w:val="0"/>
              <w:autoSpaceDN w:val="0"/>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20"/>
              </w:rPr>
            </w:pPr>
            <w:r w:rsidRPr="007936D3">
              <w:rPr>
                <w:rFonts w:ascii="Palatino Linotype" w:hAnsi="Palatino Linotype" w:cs="Arial"/>
                <w:sz w:val="20"/>
              </w:rPr>
              <w:t>L</w:t>
            </w:r>
          </w:p>
        </w:tc>
      </w:tr>
      <w:tr w:rsidR="004A4556" w:rsidRPr="007936D3" w14:paraId="3F100316" w14:textId="77777777" w:rsidTr="007936D3">
        <w:trPr>
          <w:jc w:val="center"/>
        </w:trPr>
        <w:tc>
          <w:tcPr>
            <w:cnfStyle w:val="001000000000" w:firstRow="0" w:lastRow="0" w:firstColumn="1" w:lastColumn="0" w:oddVBand="0" w:evenVBand="0" w:oddHBand="0" w:evenHBand="0" w:firstRowFirstColumn="0" w:firstRowLastColumn="0" w:lastRowFirstColumn="0" w:lastRowLastColumn="0"/>
            <w:tcW w:w="1581" w:type="dxa"/>
            <w:shd w:val="clear" w:color="auto" w:fill="auto"/>
            <w:vAlign w:val="center"/>
          </w:tcPr>
          <w:p w14:paraId="314CD42A" w14:textId="7BD2D798" w:rsidR="004A4556" w:rsidRPr="007936D3" w:rsidRDefault="00FA03B1" w:rsidP="007936D3">
            <w:pPr>
              <w:pStyle w:val="NoSpacing"/>
              <w:autoSpaceDE w:val="0"/>
              <w:autoSpaceDN w:val="0"/>
              <w:adjustRightInd w:val="0"/>
              <w:snapToGrid w:val="0"/>
              <w:jc w:val="center"/>
              <w:rPr>
                <w:rFonts w:ascii="Palatino Linotype" w:hAnsi="Palatino Linotype" w:cs="Arial"/>
                <w:b w:val="0"/>
                <w:i/>
                <w:sz w:val="20"/>
                <w:vertAlign w:val="subscript"/>
              </w:rPr>
            </w:pPr>
            <w:r w:rsidRPr="007936D3">
              <w:rPr>
                <w:rFonts w:ascii="Palatino Linotype" w:hAnsi="Palatino Linotype" w:cs="Arial"/>
                <w:b w:val="0"/>
                <w:sz w:val="20"/>
              </w:rPr>
              <w:t>[</w:t>
            </w:r>
            <w:r w:rsidR="004A4556" w:rsidRPr="007936D3">
              <w:rPr>
                <w:rFonts w:ascii="Palatino Linotype" w:hAnsi="Palatino Linotype" w:cs="Arial"/>
                <w:b w:val="0"/>
                <w:sz w:val="20"/>
              </w:rPr>
              <w:t>L</w:t>
            </w:r>
            <w:r w:rsidRPr="007936D3">
              <w:rPr>
                <w:rFonts w:ascii="Palatino Linotype" w:hAnsi="Palatino Linotype" w:cs="Arial"/>
                <w:b w:val="0"/>
                <w:sz w:val="20"/>
              </w:rPr>
              <w:t>]</w:t>
            </w:r>
            <w:r w:rsidRPr="007936D3">
              <w:rPr>
                <w:rFonts w:ascii="Palatino Linotype" w:hAnsi="Palatino Linotype" w:cs="Arial"/>
                <w:b w:val="0"/>
                <w:sz w:val="20"/>
                <w:vertAlign w:val="subscript"/>
              </w:rPr>
              <w:t>0</w:t>
            </w:r>
          </w:p>
        </w:tc>
        <w:tc>
          <w:tcPr>
            <w:tcW w:w="1923" w:type="dxa"/>
            <w:shd w:val="clear" w:color="auto" w:fill="auto"/>
            <w:vAlign w:val="center"/>
          </w:tcPr>
          <w:p w14:paraId="6B7412C4" w14:textId="44A8BAD9" w:rsidR="004A4556" w:rsidRPr="007936D3" w:rsidRDefault="004A4556" w:rsidP="007936D3">
            <w:pPr>
              <w:pStyle w:val="NoSpacing"/>
              <w:autoSpaceDE w:val="0"/>
              <w:autoSpaceDN w:val="0"/>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20"/>
                <w:vertAlign w:val="superscript"/>
              </w:rPr>
            </w:pPr>
            <w:r w:rsidRPr="007936D3">
              <w:rPr>
                <w:rFonts w:ascii="Palatino Linotype" w:hAnsi="Palatino Linotype" w:cs="Arial"/>
                <w:sz w:val="20"/>
              </w:rPr>
              <w:t>1.0 x 10</w:t>
            </w:r>
            <w:r w:rsidRPr="007936D3">
              <w:rPr>
                <w:rFonts w:ascii="Palatino Linotype" w:hAnsi="Palatino Linotype" w:cs="Arial"/>
                <w:sz w:val="20"/>
                <w:vertAlign w:val="superscript"/>
              </w:rPr>
              <w:t>-9</w:t>
            </w:r>
          </w:p>
        </w:tc>
        <w:tc>
          <w:tcPr>
            <w:tcW w:w="1716" w:type="dxa"/>
            <w:shd w:val="clear" w:color="auto" w:fill="auto"/>
            <w:vAlign w:val="center"/>
          </w:tcPr>
          <w:p w14:paraId="5F00DC4B" w14:textId="77777777" w:rsidR="004A4556" w:rsidRPr="007936D3" w:rsidRDefault="004A4556" w:rsidP="007936D3">
            <w:pPr>
              <w:pStyle w:val="NoSpacing"/>
              <w:autoSpaceDE w:val="0"/>
              <w:autoSpaceDN w:val="0"/>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20"/>
              </w:rPr>
            </w:pPr>
            <w:r w:rsidRPr="007936D3">
              <w:rPr>
                <w:rFonts w:ascii="Palatino Linotype" w:hAnsi="Palatino Linotype" w:cs="Arial"/>
                <w:sz w:val="20"/>
              </w:rPr>
              <w:t>M</w:t>
            </w:r>
          </w:p>
        </w:tc>
      </w:tr>
      <w:tr w:rsidR="004A4556" w:rsidRPr="007936D3" w14:paraId="0B64ADAA" w14:textId="77777777" w:rsidTr="007936D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81" w:type="dxa"/>
            <w:shd w:val="clear" w:color="auto" w:fill="auto"/>
            <w:vAlign w:val="center"/>
          </w:tcPr>
          <w:p w14:paraId="645334AA" w14:textId="77777777" w:rsidR="004A4556" w:rsidRPr="007936D3" w:rsidRDefault="004A4556" w:rsidP="007936D3">
            <w:pPr>
              <w:pStyle w:val="NoSpacing"/>
              <w:autoSpaceDE w:val="0"/>
              <w:autoSpaceDN w:val="0"/>
              <w:adjustRightInd w:val="0"/>
              <w:snapToGrid w:val="0"/>
              <w:jc w:val="center"/>
              <w:rPr>
                <w:rFonts w:ascii="Palatino Linotype" w:hAnsi="Palatino Linotype" w:cs="Arial"/>
                <w:b w:val="0"/>
                <w:i/>
                <w:sz w:val="20"/>
              </w:rPr>
            </w:pPr>
            <w:r w:rsidRPr="007936D3">
              <w:rPr>
                <w:rFonts w:ascii="Palatino Linotype" w:hAnsi="Palatino Linotype" w:cs="Arial"/>
                <w:b w:val="0"/>
                <w:sz w:val="20"/>
              </w:rPr>
              <w:t>R</w:t>
            </w:r>
            <w:r w:rsidRPr="007936D3">
              <w:rPr>
                <w:rFonts w:ascii="Palatino Linotype" w:hAnsi="Palatino Linotype" w:cs="Arial"/>
                <w:b w:val="0"/>
                <w:sz w:val="20"/>
                <w:vertAlign w:val="subscript"/>
              </w:rPr>
              <w:t>1</w:t>
            </w:r>
          </w:p>
        </w:tc>
        <w:tc>
          <w:tcPr>
            <w:tcW w:w="1923" w:type="dxa"/>
            <w:shd w:val="clear" w:color="auto" w:fill="auto"/>
            <w:vAlign w:val="center"/>
          </w:tcPr>
          <w:p w14:paraId="67183725" w14:textId="04DDE570" w:rsidR="004A4556" w:rsidRPr="007936D3" w:rsidRDefault="004A4556" w:rsidP="007936D3">
            <w:pPr>
              <w:pStyle w:val="NoSpacing"/>
              <w:autoSpaceDE w:val="0"/>
              <w:autoSpaceDN w:val="0"/>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20"/>
              </w:rPr>
            </w:pPr>
            <w:r w:rsidRPr="007936D3">
              <w:rPr>
                <w:rFonts w:ascii="Palatino Linotype" w:hAnsi="Palatino Linotype" w:cs="Arial"/>
                <w:sz w:val="20"/>
              </w:rPr>
              <w:t>1000</w:t>
            </w:r>
          </w:p>
        </w:tc>
        <w:tc>
          <w:tcPr>
            <w:tcW w:w="1716" w:type="dxa"/>
            <w:shd w:val="clear" w:color="auto" w:fill="auto"/>
            <w:vAlign w:val="center"/>
          </w:tcPr>
          <w:p w14:paraId="27087B08" w14:textId="032484EE" w:rsidR="004A4556" w:rsidRPr="007936D3" w:rsidRDefault="004A4556" w:rsidP="007936D3">
            <w:pPr>
              <w:pStyle w:val="NoSpacing"/>
              <w:autoSpaceDE w:val="0"/>
              <w:autoSpaceDN w:val="0"/>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20"/>
              </w:rPr>
            </w:pPr>
            <w:r w:rsidRPr="007936D3">
              <w:rPr>
                <w:rFonts w:ascii="Palatino Linotype" w:hAnsi="Palatino Linotype" w:cs="Arial"/>
                <w:sz w:val="20"/>
              </w:rPr>
              <w:t>molecule</w:t>
            </w:r>
            <w:r w:rsidR="00AD22D5" w:rsidRPr="007936D3">
              <w:rPr>
                <w:rFonts w:ascii="Palatino Linotype" w:hAnsi="Palatino Linotype" w:cs="Arial"/>
                <w:sz w:val="20"/>
              </w:rPr>
              <w:t>s</w:t>
            </w:r>
          </w:p>
        </w:tc>
      </w:tr>
      <w:tr w:rsidR="004A4556" w:rsidRPr="007936D3" w14:paraId="565D4542" w14:textId="77777777" w:rsidTr="007936D3">
        <w:trPr>
          <w:jc w:val="center"/>
        </w:trPr>
        <w:tc>
          <w:tcPr>
            <w:cnfStyle w:val="001000000000" w:firstRow="0" w:lastRow="0" w:firstColumn="1" w:lastColumn="0" w:oddVBand="0" w:evenVBand="0" w:oddHBand="0" w:evenHBand="0" w:firstRowFirstColumn="0" w:firstRowLastColumn="0" w:lastRowFirstColumn="0" w:lastRowLastColumn="0"/>
            <w:tcW w:w="1581" w:type="dxa"/>
            <w:shd w:val="clear" w:color="auto" w:fill="auto"/>
            <w:vAlign w:val="center"/>
          </w:tcPr>
          <w:p w14:paraId="3066F860" w14:textId="77777777" w:rsidR="004A4556" w:rsidRPr="007936D3" w:rsidRDefault="004A4556" w:rsidP="007936D3">
            <w:pPr>
              <w:pStyle w:val="NoSpacing"/>
              <w:autoSpaceDE w:val="0"/>
              <w:autoSpaceDN w:val="0"/>
              <w:adjustRightInd w:val="0"/>
              <w:snapToGrid w:val="0"/>
              <w:jc w:val="center"/>
              <w:rPr>
                <w:rFonts w:ascii="Palatino Linotype" w:hAnsi="Palatino Linotype" w:cs="Arial"/>
                <w:b w:val="0"/>
                <w:i/>
                <w:sz w:val="20"/>
              </w:rPr>
            </w:pPr>
            <w:r w:rsidRPr="007936D3">
              <w:rPr>
                <w:rFonts w:ascii="Palatino Linotype" w:hAnsi="Palatino Linotype" w:cs="Arial"/>
                <w:b w:val="0"/>
                <w:sz w:val="20"/>
              </w:rPr>
              <w:t>R</w:t>
            </w:r>
            <w:r w:rsidRPr="007936D3">
              <w:rPr>
                <w:rFonts w:ascii="Palatino Linotype" w:hAnsi="Palatino Linotype" w:cs="Arial"/>
                <w:b w:val="0"/>
                <w:sz w:val="20"/>
                <w:vertAlign w:val="subscript"/>
              </w:rPr>
              <w:t>2</w:t>
            </w:r>
          </w:p>
        </w:tc>
        <w:tc>
          <w:tcPr>
            <w:tcW w:w="1923" w:type="dxa"/>
            <w:shd w:val="clear" w:color="auto" w:fill="auto"/>
            <w:vAlign w:val="center"/>
          </w:tcPr>
          <w:p w14:paraId="79533564" w14:textId="4FB7AD03" w:rsidR="004A4556" w:rsidRPr="007936D3" w:rsidRDefault="004A4556" w:rsidP="007936D3">
            <w:pPr>
              <w:pStyle w:val="NoSpacing"/>
              <w:autoSpaceDE w:val="0"/>
              <w:autoSpaceDN w:val="0"/>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20"/>
              </w:rPr>
            </w:pPr>
            <w:r w:rsidRPr="007936D3">
              <w:rPr>
                <w:rFonts w:ascii="Palatino Linotype" w:hAnsi="Palatino Linotype" w:cs="Arial"/>
                <w:sz w:val="20"/>
              </w:rPr>
              <w:t>1000</w:t>
            </w:r>
          </w:p>
        </w:tc>
        <w:tc>
          <w:tcPr>
            <w:tcW w:w="1716" w:type="dxa"/>
            <w:shd w:val="clear" w:color="auto" w:fill="auto"/>
            <w:vAlign w:val="center"/>
          </w:tcPr>
          <w:p w14:paraId="08343837" w14:textId="2B0C45BA" w:rsidR="004A4556" w:rsidRPr="007936D3" w:rsidRDefault="004A4556" w:rsidP="007936D3">
            <w:pPr>
              <w:pStyle w:val="NoSpacing"/>
              <w:autoSpaceDE w:val="0"/>
              <w:autoSpaceDN w:val="0"/>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20"/>
              </w:rPr>
            </w:pPr>
            <w:r w:rsidRPr="007936D3">
              <w:rPr>
                <w:rFonts w:ascii="Palatino Linotype" w:hAnsi="Palatino Linotype" w:cs="Arial"/>
                <w:sz w:val="20"/>
              </w:rPr>
              <w:t>molecule</w:t>
            </w:r>
            <w:r w:rsidR="00AD22D5" w:rsidRPr="007936D3">
              <w:rPr>
                <w:rFonts w:ascii="Palatino Linotype" w:hAnsi="Palatino Linotype" w:cs="Arial"/>
                <w:sz w:val="20"/>
              </w:rPr>
              <w:t>s</w:t>
            </w:r>
          </w:p>
        </w:tc>
      </w:tr>
      <w:tr w:rsidR="004A4556" w:rsidRPr="007936D3" w14:paraId="18FC3D8E" w14:textId="77777777" w:rsidTr="007936D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81" w:type="dxa"/>
            <w:shd w:val="clear" w:color="auto" w:fill="auto"/>
            <w:vAlign w:val="center"/>
          </w:tcPr>
          <w:p w14:paraId="5336E66B" w14:textId="77777777" w:rsidR="004A4556" w:rsidRPr="007936D3" w:rsidRDefault="004A4556" w:rsidP="007936D3">
            <w:pPr>
              <w:pStyle w:val="NoSpacing"/>
              <w:autoSpaceDE w:val="0"/>
              <w:autoSpaceDN w:val="0"/>
              <w:adjustRightInd w:val="0"/>
              <w:snapToGrid w:val="0"/>
              <w:jc w:val="center"/>
              <w:rPr>
                <w:rFonts w:ascii="Palatino Linotype" w:hAnsi="Palatino Linotype" w:cs="Arial"/>
                <w:b w:val="0"/>
                <w:i/>
                <w:sz w:val="20"/>
                <w:vertAlign w:val="subscript"/>
              </w:rPr>
            </w:pPr>
            <w:r w:rsidRPr="007936D3">
              <w:rPr>
                <w:rFonts w:ascii="Palatino Linotype" w:hAnsi="Palatino Linotype" w:cs="Arial"/>
                <w:b w:val="0"/>
                <w:sz w:val="20"/>
              </w:rPr>
              <w:t>R</w:t>
            </w:r>
            <w:r w:rsidRPr="007936D3">
              <w:rPr>
                <w:rFonts w:ascii="Palatino Linotype" w:hAnsi="Palatino Linotype" w:cs="Arial"/>
                <w:b w:val="0"/>
                <w:sz w:val="20"/>
                <w:vertAlign w:val="subscript"/>
              </w:rPr>
              <w:t>3</w:t>
            </w:r>
          </w:p>
        </w:tc>
        <w:tc>
          <w:tcPr>
            <w:tcW w:w="1923" w:type="dxa"/>
            <w:shd w:val="clear" w:color="auto" w:fill="auto"/>
            <w:vAlign w:val="center"/>
          </w:tcPr>
          <w:p w14:paraId="7C3270DB" w14:textId="54753630" w:rsidR="004A4556" w:rsidRPr="007936D3" w:rsidRDefault="004A4556" w:rsidP="007936D3">
            <w:pPr>
              <w:pStyle w:val="NoSpacing"/>
              <w:autoSpaceDE w:val="0"/>
              <w:autoSpaceDN w:val="0"/>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20"/>
              </w:rPr>
            </w:pPr>
            <w:r w:rsidRPr="007936D3">
              <w:rPr>
                <w:rFonts w:ascii="Palatino Linotype" w:hAnsi="Palatino Linotype" w:cs="Arial"/>
                <w:sz w:val="20"/>
              </w:rPr>
              <w:t>1000</w:t>
            </w:r>
          </w:p>
        </w:tc>
        <w:tc>
          <w:tcPr>
            <w:tcW w:w="1716" w:type="dxa"/>
            <w:shd w:val="clear" w:color="auto" w:fill="auto"/>
            <w:vAlign w:val="center"/>
          </w:tcPr>
          <w:p w14:paraId="36208788" w14:textId="10DBAAF2" w:rsidR="004A4556" w:rsidRPr="007936D3" w:rsidRDefault="004A4556" w:rsidP="007936D3">
            <w:pPr>
              <w:pStyle w:val="NoSpacing"/>
              <w:autoSpaceDE w:val="0"/>
              <w:autoSpaceDN w:val="0"/>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20"/>
              </w:rPr>
            </w:pPr>
            <w:r w:rsidRPr="007936D3">
              <w:rPr>
                <w:rFonts w:ascii="Palatino Linotype" w:hAnsi="Palatino Linotype" w:cs="Arial"/>
                <w:sz w:val="20"/>
              </w:rPr>
              <w:t>molecule</w:t>
            </w:r>
            <w:r w:rsidR="00AD22D5" w:rsidRPr="007936D3">
              <w:rPr>
                <w:rFonts w:ascii="Palatino Linotype" w:hAnsi="Palatino Linotype" w:cs="Arial"/>
                <w:sz w:val="20"/>
              </w:rPr>
              <w:t>s</w:t>
            </w:r>
          </w:p>
        </w:tc>
      </w:tr>
      <w:tr w:rsidR="004A4556" w:rsidRPr="007936D3" w14:paraId="550B6A54" w14:textId="77777777" w:rsidTr="007936D3">
        <w:trPr>
          <w:jc w:val="center"/>
        </w:trPr>
        <w:tc>
          <w:tcPr>
            <w:cnfStyle w:val="001000000000" w:firstRow="0" w:lastRow="0" w:firstColumn="1" w:lastColumn="0" w:oddVBand="0" w:evenVBand="0" w:oddHBand="0" w:evenHBand="0" w:firstRowFirstColumn="0" w:firstRowLastColumn="0" w:lastRowFirstColumn="0" w:lastRowLastColumn="0"/>
            <w:tcW w:w="1581" w:type="dxa"/>
            <w:shd w:val="clear" w:color="auto" w:fill="auto"/>
            <w:vAlign w:val="center"/>
          </w:tcPr>
          <w:p w14:paraId="1FD23F90" w14:textId="77777777" w:rsidR="004A4556" w:rsidRPr="007936D3" w:rsidRDefault="004A4556" w:rsidP="007936D3">
            <w:pPr>
              <w:pStyle w:val="NoSpacing"/>
              <w:autoSpaceDE w:val="0"/>
              <w:autoSpaceDN w:val="0"/>
              <w:adjustRightInd w:val="0"/>
              <w:snapToGrid w:val="0"/>
              <w:jc w:val="center"/>
              <w:rPr>
                <w:rFonts w:ascii="Palatino Linotype" w:hAnsi="Palatino Linotype" w:cs="Arial"/>
                <w:b w:val="0"/>
                <w:i/>
                <w:sz w:val="20"/>
              </w:rPr>
            </w:pPr>
            <w:r w:rsidRPr="007936D3">
              <w:rPr>
                <w:rFonts w:ascii="Palatino Linotype" w:hAnsi="Palatino Linotype" w:cs="Arial"/>
                <w:b w:val="0"/>
                <w:sz w:val="20"/>
              </w:rPr>
              <w:t>k</w:t>
            </w:r>
            <w:r w:rsidRPr="007936D3">
              <w:rPr>
                <w:rFonts w:ascii="Palatino Linotype" w:hAnsi="Palatino Linotype" w:cs="Arial"/>
                <w:b w:val="0"/>
                <w:sz w:val="20"/>
                <w:vertAlign w:val="subscript"/>
              </w:rPr>
              <w:t>L1</w:t>
            </w:r>
          </w:p>
        </w:tc>
        <w:tc>
          <w:tcPr>
            <w:tcW w:w="1923" w:type="dxa"/>
            <w:shd w:val="clear" w:color="auto" w:fill="auto"/>
            <w:vAlign w:val="center"/>
          </w:tcPr>
          <w:p w14:paraId="5FDD3C05" w14:textId="77777777" w:rsidR="004A4556" w:rsidRPr="007936D3" w:rsidRDefault="004A4556" w:rsidP="007936D3">
            <w:pPr>
              <w:pStyle w:val="NoSpacing"/>
              <w:tabs>
                <w:tab w:val="center" w:pos="1332"/>
              </w:tabs>
              <w:autoSpaceDE w:val="0"/>
              <w:autoSpaceDN w:val="0"/>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20"/>
              </w:rPr>
            </w:pPr>
            <w:r w:rsidRPr="007936D3">
              <w:rPr>
                <w:rFonts w:ascii="Palatino Linotype" w:hAnsi="Palatino Linotype" w:cs="Arial"/>
                <w:sz w:val="20"/>
              </w:rPr>
              <w:t>1.0 x 10</w:t>
            </w:r>
            <w:r w:rsidRPr="007936D3">
              <w:rPr>
                <w:rFonts w:ascii="Palatino Linotype" w:hAnsi="Palatino Linotype" w:cs="Arial"/>
                <w:sz w:val="20"/>
                <w:vertAlign w:val="superscript"/>
              </w:rPr>
              <w:t>6</w:t>
            </w:r>
          </w:p>
        </w:tc>
        <w:tc>
          <w:tcPr>
            <w:tcW w:w="1716" w:type="dxa"/>
            <w:shd w:val="clear" w:color="auto" w:fill="auto"/>
            <w:vAlign w:val="center"/>
          </w:tcPr>
          <w:p w14:paraId="45547B4F" w14:textId="77777777" w:rsidR="004A4556" w:rsidRPr="007936D3" w:rsidRDefault="004A4556" w:rsidP="007936D3">
            <w:pPr>
              <w:pStyle w:val="NoSpacing"/>
              <w:autoSpaceDE w:val="0"/>
              <w:autoSpaceDN w:val="0"/>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20"/>
              </w:rPr>
            </w:pPr>
            <w:r w:rsidRPr="007936D3">
              <w:rPr>
                <w:rFonts w:ascii="Palatino Linotype" w:hAnsi="Palatino Linotype" w:cs="Arial"/>
                <w:sz w:val="20"/>
              </w:rPr>
              <w:t>M</w:t>
            </w:r>
            <w:r w:rsidRPr="007936D3">
              <w:rPr>
                <w:rFonts w:ascii="Palatino Linotype" w:hAnsi="Palatino Linotype" w:cs="Arial"/>
                <w:sz w:val="20"/>
                <w:vertAlign w:val="superscript"/>
              </w:rPr>
              <w:t xml:space="preserve">-1 </w:t>
            </w:r>
            <w:r w:rsidRPr="007936D3">
              <w:rPr>
                <w:rFonts w:ascii="Palatino Linotype" w:hAnsi="Palatino Linotype" w:cs="Arial"/>
                <w:sz w:val="20"/>
              </w:rPr>
              <w:t>s</w:t>
            </w:r>
            <w:r w:rsidRPr="007936D3">
              <w:rPr>
                <w:rFonts w:ascii="Palatino Linotype" w:hAnsi="Palatino Linotype" w:cs="Arial"/>
                <w:sz w:val="20"/>
                <w:vertAlign w:val="superscript"/>
              </w:rPr>
              <w:t>-1</w:t>
            </w:r>
          </w:p>
        </w:tc>
      </w:tr>
      <w:tr w:rsidR="004A4556" w:rsidRPr="007936D3" w14:paraId="02C6F981" w14:textId="77777777" w:rsidTr="007936D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81" w:type="dxa"/>
            <w:shd w:val="clear" w:color="auto" w:fill="auto"/>
            <w:vAlign w:val="center"/>
          </w:tcPr>
          <w:p w14:paraId="31FAF02F" w14:textId="77777777" w:rsidR="004A4556" w:rsidRPr="007936D3" w:rsidRDefault="004A4556" w:rsidP="007936D3">
            <w:pPr>
              <w:pStyle w:val="NoSpacing"/>
              <w:autoSpaceDE w:val="0"/>
              <w:autoSpaceDN w:val="0"/>
              <w:adjustRightInd w:val="0"/>
              <w:snapToGrid w:val="0"/>
              <w:jc w:val="center"/>
              <w:rPr>
                <w:rFonts w:ascii="Palatino Linotype" w:hAnsi="Palatino Linotype" w:cs="Arial"/>
                <w:b w:val="0"/>
                <w:i/>
                <w:sz w:val="20"/>
              </w:rPr>
            </w:pPr>
            <w:r w:rsidRPr="007936D3">
              <w:rPr>
                <w:rFonts w:ascii="Palatino Linotype" w:hAnsi="Palatino Linotype" w:cs="Arial"/>
                <w:b w:val="0"/>
                <w:sz w:val="20"/>
              </w:rPr>
              <w:t>ak</w:t>
            </w:r>
            <w:r w:rsidRPr="007936D3">
              <w:rPr>
                <w:rFonts w:ascii="Palatino Linotype" w:hAnsi="Palatino Linotype" w:cs="Arial"/>
                <w:b w:val="0"/>
                <w:sz w:val="20"/>
                <w:vertAlign w:val="subscript"/>
              </w:rPr>
              <w:t>L1</w:t>
            </w:r>
          </w:p>
        </w:tc>
        <w:tc>
          <w:tcPr>
            <w:tcW w:w="1923" w:type="dxa"/>
            <w:shd w:val="clear" w:color="auto" w:fill="auto"/>
            <w:vAlign w:val="center"/>
          </w:tcPr>
          <w:p w14:paraId="02DD027C" w14:textId="77777777" w:rsidR="004A4556" w:rsidRPr="007936D3" w:rsidRDefault="004A4556" w:rsidP="007936D3">
            <w:pPr>
              <w:pStyle w:val="NoSpacing"/>
              <w:tabs>
                <w:tab w:val="center" w:pos="1332"/>
              </w:tabs>
              <w:autoSpaceDE w:val="0"/>
              <w:autoSpaceDN w:val="0"/>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20"/>
              </w:rPr>
            </w:pPr>
            <w:r w:rsidRPr="007936D3">
              <w:rPr>
                <w:rFonts w:ascii="Palatino Linotype" w:hAnsi="Palatino Linotype" w:cs="Arial"/>
                <w:sz w:val="20"/>
              </w:rPr>
              <w:t>1.0 x 10</w:t>
            </w:r>
            <w:r w:rsidRPr="007936D3">
              <w:rPr>
                <w:rFonts w:ascii="Palatino Linotype" w:hAnsi="Palatino Linotype" w:cs="Arial"/>
                <w:sz w:val="20"/>
                <w:vertAlign w:val="superscript"/>
              </w:rPr>
              <w:t>-7</w:t>
            </w:r>
          </w:p>
        </w:tc>
        <w:tc>
          <w:tcPr>
            <w:tcW w:w="1716" w:type="dxa"/>
            <w:shd w:val="clear" w:color="auto" w:fill="auto"/>
            <w:vAlign w:val="center"/>
          </w:tcPr>
          <w:p w14:paraId="73B5067E" w14:textId="77777777" w:rsidR="004A4556" w:rsidRPr="007936D3" w:rsidRDefault="004A4556" w:rsidP="007936D3">
            <w:pPr>
              <w:pStyle w:val="NoSpacing"/>
              <w:autoSpaceDE w:val="0"/>
              <w:autoSpaceDN w:val="0"/>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20"/>
              </w:rPr>
            </w:pPr>
            <w:r w:rsidRPr="007936D3">
              <w:rPr>
                <w:rFonts w:ascii="Palatino Linotype" w:hAnsi="Palatino Linotype" w:cs="Arial"/>
                <w:sz w:val="20"/>
              </w:rPr>
              <w:t>s</w:t>
            </w:r>
            <w:r w:rsidRPr="007936D3">
              <w:rPr>
                <w:rFonts w:ascii="Palatino Linotype" w:hAnsi="Palatino Linotype" w:cs="Arial"/>
                <w:sz w:val="20"/>
                <w:vertAlign w:val="superscript"/>
              </w:rPr>
              <w:t>-1</w:t>
            </w:r>
          </w:p>
        </w:tc>
      </w:tr>
      <w:tr w:rsidR="004A4556" w:rsidRPr="007936D3" w14:paraId="1C0033A6" w14:textId="77777777" w:rsidTr="007936D3">
        <w:trPr>
          <w:jc w:val="center"/>
        </w:trPr>
        <w:tc>
          <w:tcPr>
            <w:cnfStyle w:val="001000000000" w:firstRow="0" w:lastRow="0" w:firstColumn="1" w:lastColumn="0" w:oddVBand="0" w:evenVBand="0" w:oddHBand="0" w:evenHBand="0" w:firstRowFirstColumn="0" w:firstRowLastColumn="0" w:lastRowFirstColumn="0" w:lastRowLastColumn="0"/>
            <w:tcW w:w="1581" w:type="dxa"/>
            <w:shd w:val="clear" w:color="auto" w:fill="auto"/>
            <w:vAlign w:val="center"/>
          </w:tcPr>
          <w:p w14:paraId="265E794B" w14:textId="77777777" w:rsidR="004A4556" w:rsidRPr="007936D3" w:rsidRDefault="004A4556" w:rsidP="007936D3">
            <w:pPr>
              <w:pStyle w:val="NoSpacing"/>
              <w:autoSpaceDE w:val="0"/>
              <w:autoSpaceDN w:val="0"/>
              <w:adjustRightInd w:val="0"/>
              <w:snapToGrid w:val="0"/>
              <w:jc w:val="center"/>
              <w:rPr>
                <w:rFonts w:ascii="Palatino Linotype" w:hAnsi="Palatino Linotype" w:cs="Arial"/>
                <w:b w:val="0"/>
                <w:i/>
                <w:sz w:val="20"/>
              </w:rPr>
            </w:pPr>
            <w:r w:rsidRPr="007936D3">
              <w:rPr>
                <w:rFonts w:ascii="Palatino Linotype" w:hAnsi="Palatino Linotype" w:cs="Arial"/>
                <w:b w:val="0"/>
                <w:sz w:val="20"/>
              </w:rPr>
              <w:t>k</w:t>
            </w:r>
            <w:r w:rsidRPr="007936D3">
              <w:rPr>
                <w:rFonts w:ascii="Palatino Linotype" w:hAnsi="Palatino Linotype" w:cs="Arial"/>
                <w:b w:val="0"/>
                <w:sz w:val="20"/>
                <w:vertAlign w:val="subscript"/>
              </w:rPr>
              <w:t>L2</w:t>
            </w:r>
          </w:p>
        </w:tc>
        <w:tc>
          <w:tcPr>
            <w:tcW w:w="1923" w:type="dxa"/>
            <w:shd w:val="clear" w:color="auto" w:fill="auto"/>
            <w:vAlign w:val="center"/>
          </w:tcPr>
          <w:p w14:paraId="11600B44" w14:textId="2BD9AA98" w:rsidR="004A4556" w:rsidRPr="007936D3" w:rsidRDefault="004A4556" w:rsidP="007936D3">
            <w:pPr>
              <w:pStyle w:val="NoSpacing"/>
              <w:tabs>
                <w:tab w:val="center" w:pos="1332"/>
              </w:tabs>
              <w:autoSpaceDE w:val="0"/>
              <w:autoSpaceDN w:val="0"/>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20"/>
              </w:rPr>
            </w:pPr>
            <w:r w:rsidRPr="007936D3">
              <w:rPr>
                <w:rFonts w:ascii="Palatino Linotype" w:hAnsi="Palatino Linotype" w:cs="Arial"/>
                <w:sz w:val="20"/>
              </w:rPr>
              <w:t>1.0 x 10</w:t>
            </w:r>
            <w:r w:rsidR="00A041D3" w:rsidRPr="007936D3">
              <w:rPr>
                <w:rFonts w:ascii="Palatino Linotype" w:hAnsi="Palatino Linotype" w:cs="Arial"/>
                <w:sz w:val="20"/>
                <w:vertAlign w:val="superscript"/>
              </w:rPr>
              <w:t>6</w:t>
            </w:r>
          </w:p>
        </w:tc>
        <w:tc>
          <w:tcPr>
            <w:tcW w:w="1716" w:type="dxa"/>
            <w:shd w:val="clear" w:color="auto" w:fill="auto"/>
            <w:vAlign w:val="center"/>
          </w:tcPr>
          <w:p w14:paraId="2C9CF217" w14:textId="77777777" w:rsidR="004A4556" w:rsidRPr="007936D3" w:rsidRDefault="004A4556" w:rsidP="007936D3">
            <w:pPr>
              <w:pStyle w:val="NoSpacing"/>
              <w:autoSpaceDE w:val="0"/>
              <w:autoSpaceDN w:val="0"/>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20"/>
              </w:rPr>
            </w:pPr>
            <w:r w:rsidRPr="007936D3">
              <w:rPr>
                <w:rFonts w:ascii="Palatino Linotype" w:hAnsi="Palatino Linotype" w:cs="Arial"/>
                <w:sz w:val="20"/>
              </w:rPr>
              <w:t>M</w:t>
            </w:r>
            <w:r w:rsidRPr="007936D3">
              <w:rPr>
                <w:rFonts w:ascii="Palatino Linotype" w:hAnsi="Palatino Linotype" w:cs="Arial"/>
                <w:sz w:val="20"/>
                <w:vertAlign w:val="superscript"/>
              </w:rPr>
              <w:t xml:space="preserve">-1 </w:t>
            </w:r>
            <w:r w:rsidRPr="007936D3">
              <w:rPr>
                <w:rFonts w:ascii="Palatino Linotype" w:hAnsi="Palatino Linotype" w:cs="Arial"/>
                <w:sz w:val="20"/>
              </w:rPr>
              <w:t>s</w:t>
            </w:r>
            <w:r w:rsidRPr="007936D3">
              <w:rPr>
                <w:rFonts w:ascii="Palatino Linotype" w:hAnsi="Palatino Linotype" w:cs="Arial"/>
                <w:sz w:val="20"/>
                <w:vertAlign w:val="superscript"/>
              </w:rPr>
              <w:t>-1</w:t>
            </w:r>
          </w:p>
        </w:tc>
      </w:tr>
      <w:tr w:rsidR="004A4556" w:rsidRPr="007936D3" w14:paraId="403210F9" w14:textId="77777777" w:rsidTr="007936D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81" w:type="dxa"/>
            <w:shd w:val="clear" w:color="auto" w:fill="auto"/>
            <w:vAlign w:val="center"/>
          </w:tcPr>
          <w:p w14:paraId="4ECA323B" w14:textId="77777777" w:rsidR="004A4556" w:rsidRPr="007936D3" w:rsidRDefault="004A4556" w:rsidP="007936D3">
            <w:pPr>
              <w:autoSpaceDE w:val="0"/>
              <w:autoSpaceDN w:val="0"/>
              <w:adjustRightInd w:val="0"/>
              <w:snapToGrid w:val="0"/>
              <w:jc w:val="center"/>
              <w:rPr>
                <w:rFonts w:ascii="Palatino Linotype" w:hAnsi="Palatino Linotype" w:cs="Arial"/>
                <w:b w:val="0"/>
                <w:i/>
                <w:sz w:val="20"/>
              </w:rPr>
            </w:pPr>
            <w:r w:rsidRPr="007936D3">
              <w:rPr>
                <w:rFonts w:ascii="Palatino Linotype" w:hAnsi="Palatino Linotype" w:cs="Arial"/>
                <w:b w:val="0"/>
                <w:sz w:val="20"/>
              </w:rPr>
              <w:t>ak</w:t>
            </w:r>
            <w:r w:rsidRPr="007936D3">
              <w:rPr>
                <w:rFonts w:ascii="Palatino Linotype" w:hAnsi="Palatino Linotype" w:cs="Arial"/>
                <w:b w:val="0"/>
                <w:sz w:val="20"/>
                <w:vertAlign w:val="subscript"/>
              </w:rPr>
              <w:t>L2</w:t>
            </w:r>
          </w:p>
        </w:tc>
        <w:tc>
          <w:tcPr>
            <w:tcW w:w="1923" w:type="dxa"/>
            <w:shd w:val="clear" w:color="auto" w:fill="auto"/>
            <w:vAlign w:val="center"/>
          </w:tcPr>
          <w:p w14:paraId="3DF5F3D9" w14:textId="77777777" w:rsidR="004A4556" w:rsidRPr="007936D3" w:rsidRDefault="004A4556" w:rsidP="007936D3">
            <w:pPr>
              <w:pStyle w:val="NoSpacing"/>
              <w:tabs>
                <w:tab w:val="center" w:pos="1332"/>
              </w:tabs>
              <w:autoSpaceDE w:val="0"/>
              <w:autoSpaceDN w:val="0"/>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20"/>
              </w:rPr>
            </w:pPr>
            <w:r w:rsidRPr="007936D3">
              <w:rPr>
                <w:rFonts w:ascii="Palatino Linotype" w:hAnsi="Palatino Linotype" w:cs="Arial"/>
                <w:sz w:val="20"/>
              </w:rPr>
              <w:t>1.0 x 10</w:t>
            </w:r>
            <w:r w:rsidRPr="007936D3">
              <w:rPr>
                <w:rFonts w:ascii="Palatino Linotype" w:hAnsi="Palatino Linotype" w:cs="Arial"/>
                <w:sz w:val="20"/>
                <w:vertAlign w:val="superscript"/>
              </w:rPr>
              <w:t>-7</w:t>
            </w:r>
          </w:p>
        </w:tc>
        <w:tc>
          <w:tcPr>
            <w:tcW w:w="1716" w:type="dxa"/>
            <w:shd w:val="clear" w:color="auto" w:fill="auto"/>
            <w:vAlign w:val="center"/>
          </w:tcPr>
          <w:p w14:paraId="1F98B3AF" w14:textId="77777777" w:rsidR="004A4556" w:rsidRPr="007936D3" w:rsidRDefault="004A4556" w:rsidP="007936D3">
            <w:pPr>
              <w:pStyle w:val="NoSpacing"/>
              <w:autoSpaceDE w:val="0"/>
              <w:autoSpaceDN w:val="0"/>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20"/>
              </w:rPr>
            </w:pPr>
            <w:r w:rsidRPr="007936D3">
              <w:rPr>
                <w:rFonts w:ascii="Palatino Linotype" w:hAnsi="Palatino Linotype" w:cs="Arial"/>
                <w:sz w:val="20"/>
              </w:rPr>
              <w:t>s</w:t>
            </w:r>
            <w:r w:rsidRPr="007936D3">
              <w:rPr>
                <w:rFonts w:ascii="Palatino Linotype" w:hAnsi="Palatino Linotype" w:cs="Arial"/>
                <w:sz w:val="20"/>
                <w:vertAlign w:val="superscript"/>
              </w:rPr>
              <w:t>-1</w:t>
            </w:r>
          </w:p>
        </w:tc>
      </w:tr>
      <w:tr w:rsidR="004A4556" w:rsidRPr="007936D3" w14:paraId="60F284BE" w14:textId="77777777" w:rsidTr="007936D3">
        <w:trPr>
          <w:jc w:val="center"/>
        </w:trPr>
        <w:tc>
          <w:tcPr>
            <w:cnfStyle w:val="001000000000" w:firstRow="0" w:lastRow="0" w:firstColumn="1" w:lastColumn="0" w:oddVBand="0" w:evenVBand="0" w:oddHBand="0" w:evenHBand="0" w:firstRowFirstColumn="0" w:firstRowLastColumn="0" w:lastRowFirstColumn="0" w:lastRowLastColumn="0"/>
            <w:tcW w:w="1581" w:type="dxa"/>
            <w:shd w:val="clear" w:color="auto" w:fill="auto"/>
            <w:vAlign w:val="center"/>
          </w:tcPr>
          <w:p w14:paraId="5BC1F679" w14:textId="77777777" w:rsidR="004A4556" w:rsidRPr="007936D3" w:rsidRDefault="004A4556" w:rsidP="007936D3">
            <w:pPr>
              <w:autoSpaceDE w:val="0"/>
              <w:autoSpaceDN w:val="0"/>
              <w:adjustRightInd w:val="0"/>
              <w:snapToGrid w:val="0"/>
              <w:jc w:val="center"/>
              <w:rPr>
                <w:rFonts w:ascii="Palatino Linotype" w:hAnsi="Palatino Linotype" w:cs="Arial"/>
                <w:b w:val="0"/>
                <w:i/>
                <w:sz w:val="20"/>
              </w:rPr>
            </w:pPr>
            <w:r w:rsidRPr="007936D3">
              <w:rPr>
                <w:rFonts w:ascii="Palatino Linotype" w:hAnsi="Palatino Linotype" w:cs="Arial"/>
                <w:b w:val="0"/>
                <w:sz w:val="20"/>
              </w:rPr>
              <w:t>k</w:t>
            </w:r>
            <w:r w:rsidRPr="007936D3">
              <w:rPr>
                <w:rFonts w:ascii="Palatino Linotype" w:hAnsi="Palatino Linotype" w:cs="Arial"/>
                <w:b w:val="0"/>
                <w:sz w:val="20"/>
                <w:vertAlign w:val="subscript"/>
              </w:rPr>
              <w:t>L3</w:t>
            </w:r>
          </w:p>
        </w:tc>
        <w:tc>
          <w:tcPr>
            <w:tcW w:w="1923" w:type="dxa"/>
            <w:shd w:val="clear" w:color="auto" w:fill="auto"/>
            <w:vAlign w:val="center"/>
          </w:tcPr>
          <w:p w14:paraId="3B196DE1" w14:textId="5F0F5CFE" w:rsidR="004A4556" w:rsidRPr="007936D3" w:rsidRDefault="004A4556" w:rsidP="007936D3">
            <w:pPr>
              <w:pStyle w:val="NoSpacing"/>
              <w:tabs>
                <w:tab w:val="center" w:pos="1332"/>
              </w:tabs>
              <w:autoSpaceDE w:val="0"/>
              <w:autoSpaceDN w:val="0"/>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20"/>
              </w:rPr>
            </w:pPr>
            <w:r w:rsidRPr="007936D3">
              <w:rPr>
                <w:rFonts w:ascii="Palatino Linotype" w:hAnsi="Palatino Linotype" w:cs="Arial"/>
                <w:sz w:val="20"/>
              </w:rPr>
              <w:t>1.0 x 10</w:t>
            </w:r>
            <w:r w:rsidR="00A041D3" w:rsidRPr="007936D3">
              <w:rPr>
                <w:rFonts w:ascii="Palatino Linotype" w:hAnsi="Palatino Linotype" w:cs="Arial"/>
                <w:sz w:val="20"/>
                <w:vertAlign w:val="superscript"/>
              </w:rPr>
              <w:t>6</w:t>
            </w:r>
          </w:p>
        </w:tc>
        <w:tc>
          <w:tcPr>
            <w:tcW w:w="1716" w:type="dxa"/>
            <w:shd w:val="clear" w:color="auto" w:fill="auto"/>
            <w:vAlign w:val="center"/>
          </w:tcPr>
          <w:p w14:paraId="5999161F" w14:textId="77777777" w:rsidR="004A4556" w:rsidRPr="007936D3" w:rsidRDefault="004A4556" w:rsidP="007936D3">
            <w:pPr>
              <w:pStyle w:val="NoSpacing"/>
              <w:autoSpaceDE w:val="0"/>
              <w:autoSpaceDN w:val="0"/>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20"/>
              </w:rPr>
            </w:pPr>
            <w:r w:rsidRPr="007936D3">
              <w:rPr>
                <w:rFonts w:ascii="Palatino Linotype" w:hAnsi="Palatino Linotype" w:cs="Arial"/>
                <w:sz w:val="20"/>
              </w:rPr>
              <w:t>M</w:t>
            </w:r>
            <w:r w:rsidRPr="007936D3">
              <w:rPr>
                <w:rFonts w:ascii="Palatino Linotype" w:hAnsi="Palatino Linotype" w:cs="Arial"/>
                <w:sz w:val="20"/>
                <w:vertAlign w:val="superscript"/>
              </w:rPr>
              <w:t xml:space="preserve">-1 </w:t>
            </w:r>
            <w:r w:rsidRPr="007936D3">
              <w:rPr>
                <w:rFonts w:ascii="Palatino Linotype" w:hAnsi="Palatino Linotype" w:cs="Arial"/>
                <w:sz w:val="20"/>
              </w:rPr>
              <w:t>s</w:t>
            </w:r>
            <w:r w:rsidRPr="007936D3">
              <w:rPr>
                <w:rFonts w:ascii="Palatino Linotype" w:hAnsi="Palatino Linotype" w:cs="Arial"/>
                <w:sz w:val="20"/>
                <w:vertAlign w:val="superscript"/>
              </w:rPr>
              <w:t>-1</w:t>
            </w:r>
          </w:p>
        </w:tc>
      </w:tr>
      <w:tr w:rsidR="004A4556" w:rsidRPr="007936D3" w14:paraId="1AF7B691" w14:textId="77777777" w:rsidTr="007936D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81" w:type="dxa"/>
            <w:shd w:val="clear" w:color="auto" w:fill="auto"/>
            <w:vAlign w:val="center"/>
          </w:tcPr>
          <w:p w14:paraId="52DB52ED" w14:textId="77777777" w:rsidR="004A4556" w:rsidRPr="007936D3" w:rsidRDefault="004A4556" w:rsidP="007936D3">
            <w:pPr>
              <w:autoSpaceDE w:val="0"/>
              <w:autoSpaceDN w:val="0"/>
              <w:adjustRightInd w:val="0"/>
              <w:snapToGrid w:val="0"/>
              <w:jc w:val="center"/>
              <w:rPr>
                <w:rFonts w:ascii="Palatino Linotype" w:hAnsi="Palatino Linotype" w:cs="Arial"/>
                <w:b w:val="0"/>
                <w:i/>
                <w:sz w:val="20"/>
              </w:rPr>
            </w:pPr>
            <w:r w:rsidRPr="007936D3">
              <w:rPr>
                <w:rFonts w:ascii="Palatino Linotype" w:hAnsi="Palatino Linotype" w:cs="Arial"/>
                <w:b w:val="0"/>
                <w:sz w:val="20"/>
              </w:rPr>
              <w:t>ak</w:t>
            </w:r>
            <w:r w:rsidRPr="007936D3">
              <w:rPr>
                <w:rFonts w:ascii="Palatino Linotype" w:hAnsi="Palatino Linotype" w:cs="Arial"/>
                <w:b w:val="0"/>
                <w:sz w:val="20"/>
                <w:vertAlign w:val="subscript"/>
              </w:rPr>
              <w:t>L3</w:t>
            </w:r>
          </w:p>
        </w:tc>
        <w:tc>
          <w:tcPr>
            <w:tcW w:w="1923" w:type="dxa"/>
            <w:shd w:val="clear" w:color="auto" w:fill="auto"/>
            <w:vAlign w:val="center"/>
          </w:tcPr>
          <w:p w14:paraId="43092923" w14:textId="77777777" w:rsidR="004A4556" w:rsidRPr="007936D3" w:rsidRDefault="004A4556" w:rsidP="007936D3">
            <w:pPr>
              <w:pStyle w:val="NoSpacing"/>
              <w:tabs>
                <w:tab w:val="center" w:pos="1332"/>
              </w:tabs>
              <w:autoSpaceDE w:val="0"/>
              <w:autoSpaceDN w:val="0"/>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20"/>
              </w:rPr>
            </w:pPr>
            <w:r w:rsidRPr="007936D3">
              <w:rPr>
                <w:rFonts w:ascii="Palatino Linotype" w:hAnsi="Palatino Linotype" w:cs="Arial"/>
                <w:sz w:val="20"/>
              </w:rPr>
              <w:t>1.0 x 10</w:t>
            </w:r>
            <w:r w:rsidRPr="007936D3">
              <w:rPr>
                <w:rFonts w:ascii="Palatino Linotype" w:hAnsi="Palatino Linotype" w:cs="Arial"/>
                <w:sz w:val="20"/>
                <w:vertAlign w:val="superscript"/>
              </w:rPr>
              <w:t>-7</w:t>
            </w:r>
          </w:p>
        </w:tc>
        <w:tc>
          <w:tcPr>
            <w:tcW w:w="1716" w:type="dxa"/>
            <w:shd w:val="clear" w:color="auto" w:fill="auto"/>
            <w:vAlign w:val="center"/>
          </w:tcPr>
          <w:p w14:paraId="517BF1CA" w14:textId="77777777" w:rsidR="004A4556" w:rsidRPr="007936D3" w:rsidRDefault="004A4556" w:rsidP="007936D3">
            <w:pPr>
              <w:pStyle w:val="NoSpacing"/>
              <w:autoSpaceDE w:val="0"/>
              <w:autoSpaceDN w:val="0"/>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20"/>
              </w:rPr>
            </w:pPr>
            <w:r w:rsidRPr="007936D3">
              <w:rPr>
                <w:rFonts w:ascii="Palatino Linotype" w:hAnsi="Palatino Linotype" w:cs="Arial"/>
                <w:sz w:val="20"/>
              </w:rPr>
              <w:t>s</w:t>
            </w:r>
            <w:r w:rsidRPr="007936D3">
              <w:rPr>
                <w:rFonts w:ascii="Palatino Linotype" w:hAnsi="Palatino Linotype" w:cs="Arial"/>
                <w:sz w:val="20"/>
                <w:vertAlign w:val="superscript"/>
              </w:rPr>
              <w:t>-1</w:t>
            </w:r>
          </w:p>
        </w:tc>
      </w:tr>
      <w:tr w:rsidR="00164144" w:rsidRPr="007936D3" w14:paraId="4EEDEF62" w14:textId="77777777" w:rsidTr="007936D3">
        <w:trPr>
          <w:jc w:val="center"/>
        </w:trPr>
        <w:tc>
          <w:tcPr>
            <w:cnfStyle w:val="001000000000" w:firstRow="0" w:lastRow="0" w:firstColumn="1" w:lastColumn="0" w:oddVBand="0" w:evenVBand="0" w:oddHBand="0" w:evenHBand="0" w:firstRowFirstColumn="0" w:firstRowLastColumn="0" w:lastRowFirstColumn="0" w:lastRowLastColumn="0"/>
            <w:tcW w:w="1581" w:type="dxa"/>
            <w:shd w:val="clear" w:color="auto" w:fill="auto"/>
            <w:vAlign w:val="center"/>
          </w:tcPr>
          <w:p w14:paraId="41A194D9" w14:textId="010B0672" w:rsidR="00164144" w:rsidRPr="007936D3" w:rsidRDefault="00164144" w:rsidP="007936D3">
            <w:pPr>
              <w:autoSpaceDE w:val="0"/>
              <w:autoSpaceDN w:val="0"/>
              <w:adjustRightInd w:val="0"/>
              <w:snapToGrid w:val="0"/>
              <w:jc w:val="center"/>
              <w:rPr>
                <w:rFonts w:ascii="Palatino Linotype" w:hAnsi="Palatino Linotype" w:cs="Arial"/>
                <w:b w:val="0"/>
                <w:i/>
                <w:sz w:val="20"/>
                <w:vertAlign w:val="subscript"/>
              </w:rPr>
            </w:pPr>
            <w:r w:rsidRPr="007936D3">
              <w:rPr>
                <w:rFonts w:ascii="Palatino Linotype" w:hAnsi="Palatino Linotype" w:cs="Arial"/>
                <w:b w:val="0"/>
                <w:sz w:val="20"/>
              </w:rPr>
              <w:t>k</w:t>
            </w:r>
            <w:r w:rsidRPr="007936D3">
              <w:rPr>
                <w:rFonts w:ascii="Palatino Linotype" w:hAnsi="Palatino Linotype" w:cs="Arial"/>
                <w:b w:val="0"/>
                <w:sz w:val="20"/>
                <w:vertAlign w:val="subscript"/>
              </w:rPr>
              <w:t>L4</w:t>
            </w:r>
          </w:p>
        </w:tc>
        <w:tc>
          <w:tcPr>
            <w:tcW w:w="1923" w:type="dxa"/>
            <w:shd w:val="clear" w:color="auto" w:fill="auto"/>
            <w:vAlign w:val="center"/>
          </w:tcPr>
          <w:p w14:paraId="6ED82059" w14:textId="0D8727DA" w:rsidR="00164144" w:rsidRPr="007936D3" w:rsidRDefault="00164144" w:rsidP="007936D3">
            <w:pPr>
              <w:pStyle w:val="NoSpacing"/>
              <w:tabs>
                <w:tab w:val="center" w:pos="1332"/>
              </w:tabs>
              <w:autoSpaceDE w:val="0"/>
              <w:autoSpaceDN w:val="0"/>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20"/>
              </w:rPr>
            </w:pPr>
            <w:r w:rsidRPr="007936D3">
              <w:rPr>
                <w:rFonts w:ascii="Palatino Linotype" w:hAnsi="Palatino Linotype" w:cs="Arial"/>
                <w:sz w:val="20"/>
              </w:rPr>
              <w:t>1.0 x 10</w:t>
            </w:r>
            <w:r w:rsidRPr="007936D3">
              <w:rPr>
                <w:rFonts w:ascii="Palatino Linotype" w:hAnsi="Palatino Linotype" w:cs="Arial"/>
                <w:sz w:val="20"/>
                <w:vertAlign w:val="superscript"/>
              </w:rPr>
              <w:t>6</w:t>
            </w:r>
          </w:p>
        </w:tc>
        <w:tc>
          <w:tcPr>
            <w:tcW w:w="1716" w:type="dxa"/>
            <w:shd w:val="clear" w:color="auto" w:fill="auto"/>
            <w:vAlign w:val="center"/>
          </w:tcPr>
          <w:p w14:paraId="745DD62A" w14:textId="596EE2AB" w:rsidR="00164144" w:rsidRPr="007936D3" w:rsidRDefault="00164144" w:rsidP="007936D3">
            <w:pPr>
              <w:pStyle w:val="NoSpacing"/>
              <w:autoSpaceDE w:val="0"/>
              <w:autoSpaceDN w:val="0"/>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20"/>
              </w:rPr>
            </w:pPr>
            <w:r w:rsidRPr="007936D3">
              <w:rPr>
                <w:rFonts w:ascii="Palatino Linotype" w:hAnsi="Palatino Linotype" w:cs="Arial"/>
                <w:sz w:val="20"/>
              </w:rPr>
              <w:t>M</w:t>
            </w:r>
            <w:r w:rsidRPr="007936D3">
              <w:rPr>
                <w:rFonts w:ascii="Palatino Linotype" w:hAnsi="Palatino Linotype" w:cs="Arial"/>
                <w:sz w:val="20"/>
                <w:vertAlign w:val="superscript"/>
              </w:rPr>
              <w:t xml:space="preserve">-1 </w:t>
            </w:r>
            <w:r w:rsidRPr="007936D3">
              <w:rPr>
                <w:rFonts w:ascii="Palatino Linotype" w:hAnsi="Palatino Linotype" w:cs="Arial"/>
                <w:sz w:val="20"/>
              </w:rPr>
              <w:t>s</w:t>
            </w:r>
            <w:r w:rsidRPr="007936D3">
              <w:rPr>
                <w:rFonts w:ascii="Palatino Linotype" w:hAnsi="Palatino Linotype" w:cs="Arial"/>
                <w:sz w:val="20"/>
                <w:vertAlign w:val="superscript"/>
              </w:rPr>
              <w:t>-1</w:t>
            </w:r>
          </w:p>
        </w:tc>
      </w:tr>
      <w:tr w:rsidR="00164144" w:rsidRPr="007936D3" w14:paraId="451099AB" w14:textId="77777777" w:rsidTr="007936D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81" w:type="dxa"/>
            <w:shd w:val="clear" w:color="auto" w:fill="auto"/>
            <w:vAlign w:val="center"/>
          </w:tcPr>
          <w:p w14:paraId="0FDAE153" w14:textId="529A0875" w:rsidR="00164144" w:rsidRPr="007936D3" w:rsidRDefault="00164144" w:rsidP="007936D3">
            <w:pPr>
              <w:autoSpaceDE w:val="0"/>
              <w:autoSpaceDN w:val="0"/>
              <w:adjustRightInd w:val="0"/>
              <w:snapToGrid w:val="0"/>
              <w:jc w:val="center"/>
              <w:rPr>
                <w:rFonts w:ascii="Palatino Linotype" w:hAnsi="Palatino Linotype" w:cs="Arial"/>
                <w:b w:val="0"/>
                <w:i/>
                <w:sz w:val="20"/>
                <w:vertAlign w:val="subscript"/>
              </w:rPr>
            </w:pPr>
            <w:r w:rsidRPr="007936D3">
              <w:rPr>
                <w:rFonts w:ascii="Palatino Linotype" w:hAnsi="Palatino Linotype" w:cs="Arial"/>
                <w:b w:val="0"/>
                <w:sz w:val="20"/>
              </w:rPr>
              <w:t>ak</w:t>
            </w:r>
            <w:r w:rsidRPr="007936D3">
              <w:rPr>
                <w:rFonts w:ascii="Palatino Linotype" w:hAnsi="Palatino Linotype" w:cs="Arial"/>
                <w:b w:val="0"/>
                <w:sz w:val="20"/>
                <w:vertAlign w:val="subscript"/>
              </w:rPr>
              <w:t>L4</w:t>
            </w:r>
          </w:p>
        </w:tc>
        <w:tc>
          <w:tcPr>
            <w:tcW w:w="1923" w:type="dxa"/>
            <w:shd w:val="clear" w:color="auto" w:fill="auto"/>
            <w:vAlign w:val="center"/>
          </w:tcPr>
          <w:p w14:paraId="5B02F59B" w14:textId="50B750AD" w:rsidR="00164144" w:rsidRPr="007936D3" w:rsidRDefault="00164144" w:rsidP="007936D3">
            <w:pPr>
              <w:pStyle w:val="NoSpacing"/>
              <w:tabs>
                <w:tab w:val="center" w:pos="1332"/>
              </w:tabs>
              <w:autoSpaceDE w:val="0"/>
              <w:autoSpaceDN w:val="0"/>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20"/>
              </w:rPr>
            </w:pPr>
            <w:r w:rsidRPr="007936D3">
              <w:rPr>
                <w:rFonts w:ascii="Palatino Linotype" w:hAnsi="Palatino Linotype" w:cs="Arial"/>
                <w:sz w:val="20"/>
              </w:rPr>
              <w:t>1.0 x 10</w:t>
            </w:r>
            <w:r w:rsidRPr="007936D3">
              <w:rPr>
                <w:rFonts w:ascii="Palatino Linotype" w:hAnsi="Palatino Linotype" w:cs="Arial"/>
                <w:sz w:val="20"/>
                <w:vertAlign w:val="superscript"/>
              </w:rPr>
              <w:t>-7</w:t>
            </w:r>
          </w:p>
        </w:tc>
        <w:tc>
          <w:tcPr>
            <w:tcW w:w="1716" w:type="dxa"/>
            <w:shd w:val="clear" w:color="auto" w:fill="auto"/>
            <w:vAlign w:val="center"/>
          </w:tcPr>
          <w:p w14:paraId="1B952DF4" w14:textId="312DC24D" w:rsidR="00164144" w:rsidRPr="007936D3" w:rsidRDefault="00164144" w:rsidP="007936D3">
            <w:pPr>
              <w:pStyle w:val="NoSpacing"/>
              <w:autoSpaceDE w:val="0"/>
              <w:autoSpaceDN w:val="0"/>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20"/>
              </w:rPr>
            </w:pPr>
            <w:r w:rsidRPr="007936D3">
              <w:rPr>
                <w:rFonts w:ascii="Palatino Linotype" w:hAnsi="Palatino Linotype" w:cs="Arial"/>
                <w:sz w:val="20"/>
              </w:rPr>
              <w:t>s</w:t>
            </w:r>
            <w:r w:rsidRPr="007936D3">
              <w:rPr>
                <w:rFonts w:ascii="Palatino Linotype" w:hAnsi="Palatino Linotype" w:cs="Arial"/>
                <w:sz w:val="20"/>
                <w:vertAlign w:val="superscript"/>
              </w:rPr>
              <w:t>-1</w:t>
            </w:r>
          </w:p>
        </w:tc>
      </w:tr>
      <w:tr w:rsidR="00164144" w:rsidRPr="007936D3" w14:paraId="5926F127" w14:textId="77777777" w:rsidTr="007936D3">
        <w:trPr>
          <w:jc w:val="center"/>
        </w:trPr>
        <w:tc>
          <w:tcPr>
            <w:cnfStyle w:val="001000000000" w:firstRow="0" w:lastRow="0" w:firstColumn="1" w:lastColumn="0" w:oddVBand="0" w:evenVBand="0" w:oddHBand="0" w:evenHBand="0" w:firstRowFirstColumn="0" w:firstRowLastColumn="0" w:lastRowFirstColumn="0" w:lastRowLastColumn="0"/>
            <w:tcW w:w="1581" w:type="dxa"/>
            <w:shd w:val="clear" w:color="auto" w:fill="auto"/>
            <w:vAlign w:val="center"/>
          </w:tcPr>
          <w:p w14:paraId="2C238689" w14:textId="77777777" w:rsidR="00164144" w:rsidRPr="007936D3" w:rsidRDefault="00164144" w:rsidP="007936D3">
            <w:pPr>
              <w:pStyle w:val="NoSpacing"/>
              <w:autoSpaceDE w:val="0"/>
              <w:autoSpaceDN w:val="0"/>
              <w:adjustRightInd w:val="0"/>
              <w:snapToGrid w:val="0"/>
              <w:jc w:val="center"/>
              <w:rPr>
                <w:rFonts w:ascii="Palatino Linotype" w:hAnsi="Palatino Linotype" w:cs="Arial"/>
                <w:b w:val="0"/>
                <w:i/>
                <w:sz w:val="20"/>
              </w:rPr>
            </w:pPr>
            <w:proofErr w:type="spellStart"/>
            <w:r w:rsidRPr="007936D3">
              <w:rPr>
                <w:rFonts w:ascii="Palatino Linotype" w:hAnsi="Palatino Linotype" w:cs="Arial"/>
                <w:b w:val="0"/>
                <w:sz w:val="20"/>
              </w:rPr>
              <w:t>k</w:t>
            </w:r>
            <w:r w:rsidRPr="007936D3">
              <w:rPr>
                <w:rFonts w:ascii="Palatino Linotype" w:hAnsi="Palatino Linotype" w:cs="Arial"/>
                <w:b w:val="0"/>
                <w:sz w:val="20"/>
                <w:vertAlign w:val="subscript"/>
              </w:rPr>
              <w:t>dim</w:t>
            </w:r>
            <w:proofErr w:type="spellEnd"/>
          </w:p>
        </w:tc>
        <w:tc>
          <w:tcPr>
            <w:tcW w:w="1923" w:type="dxa"/>
            <w:shd w:val="clear" w:color="auto" w:fill="auto"/>
            <w:vAlign w:val="center"/>
          </w:tcPr>
          <w:p w14:paraId="69ECEF89" w14:textId="76EC4697" w:rsidR="00164144" w:rsidRPr="007936D3" w:rsidRDefault="00164144" w:rsidP="007936D3">
            <w:pPr>
              <w:pStyle w:val="NoSpacing"/>
              <w:tabs>
                <w:tab w:val="center" w:pos="1332"/>
              </w:tabs>
              <w:autoSpaceDE w:val="0"/>
              <w:autoSpaceDN w:val="0"/>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20"/>
              </w:rPr>
            </w:pPr>
            <w:r w:rsidRPr="007936D3">
              <w:rPr>
                <w:rFonts w:ascii="Palatino Linotype" w:hAnsi="Palatino Linotype" w:cs="Arial"/>
                <w:sz w:val="20"/>
              </w:rPr>
              <w:t>8.3 x 10</w:t>
            </w:r>
            <w:r w:rsidRPr="007936D3">
              <w:rPr>
                <w:rFonts w:ascii="Palatino Linotype" w:hAnsi="Palatino Linotype" w:cs="Arial"/>
                <w:sz w:val="20"/>
                <w:vertAlign w:val="superscript"/>
              </w:rPr>
              <w:t>-</w:t>
            </w:r>
            <w:r w:rsidR="00BD56E2" w:rsidRPr="007936D3">
              <w:rPr>
                <w:rFonts w:ascii="Palatino Linotype" w:hAnsi="Palatino Linotype" w:cs="Arial"/>
                <w:sz w:val="20"/>
                <w:vertAlign w:val="superscript"/>
              </w:rPr>
              <w:t>7</w:t>
            </w:r>
            <w:r w:rsidRPr="007936D3">
              <w:rPr>
                <w:rFonts w:ascii="Palatino Linotype" w:hAnsi="Palatino Linotype" w:cs="Arial"/>
                <w:sz w:val="20"/>
                <w:vertAlign w:val="superscript"/>
              </w:rPr>
              <w:t xml:space="preserve"> </w:t>
            </w:r>
            <w:r w:rsidRPr="007936D3">
              <w:rPr>
                <w:rFonts w:ascii="Palatino Linotype" w:hAnsi="Palatino Linotype" w:cs="Arial"/>
                <w:sz w:val="20"/>
              </w:rPr>
              <w:fldChar w:fldCharType="begin" w:fldLock="1"/>
            </w:r>
            <w:r w:rsidR="00294EA1" w:rsidRPr="007936D3">
              <w:rPr>
                <w:rFonts w:ascii="Palatino Linotype" w:hAnsi="Palatino Linotype" w:cs="Arial"/>
                <w:sz w:val="20"/>
              </w:rPr>
              <w:instrText>ADDIN CSL_CITATION {"citationItems":[{"id":"ITEM-1","itemData":{"DOI":"10.1039/c4mb00022f","ISSN":"1742-2051","PMID":"24736836","abstract":"Cooperativity of ligand-receptor binding influences the input-output behavior of a biochemical system and thus is an important determinant of its physiological function. Canonically, such cooperativity is understood in terms of ligand-receptor binding affinity, where an initial binding event changes the affinity for subsequent binding events. Here, we demonstrate that dimerization-a simple yet pervasive signaling motif across biology-can have significant control over cooperativity and even dominate over the canonical mechanism. Through an exhaustive parameter sensitivity analysis of a general kinetic model for signal-mediated dimerization, we show that quantitative modulation of dimerization processes can reinforce, eliminate, and even reverse cooperativity imposed by the canonical allosteric ligand-receptor binding affinity mechanism. The favored accumulation of stoichiometrically asymmetric dimers (those with ligand-receptor stoichiometry of 1 : 2) is a major determinant of dimerization-based cooperativity control. However, simulations demonstrate that favoring accumulation of such stoichiometrically asymmetric dimers can either increase or decrease cooperativity, and thus the quantitative relationship between stoichiometrically asymmetric dimers and cooperativity is highly dependent on the parameter values of the particular system of interest. These results suggest that the dimerization motif provides a novel mechanism for both generating and quantitatively tuning cooperativity that, due to the ubiquity of dimerization motifs in biochemical systems, may play a major role in a host of biological functions. Thus, the canonical, allosteric view of cooperativity is incomplete without considering dimerization effects, which is of particular importance as dimerization is often a necessary feature of the allosteric mechanism.","author":[{"dropping-particle":"","family":"Bouhaddou","given":"Mehdi","non-dropping-particle":"","parse-names":false,"suffix":""},{"dropping-particle":"","family":"Birtwistle","given":"Marc R","non-dropping-particle":"","parse-names":false,"suffix":""}],"container-title":"Molecular bioSystems","id":"ITEM-1","issue":"7","issued":{"date-parts":[["2014","7"]]},"page":"1824-32","title":"Dimerization-based control of cooperativity.","type":"article-journal","volume":"10"},"uris":["http://www.mendeley.com/documents/?uuid=65c41079-08d1-4dd1-8833-45e504da159b"]}],"mendeley":{"formattedCitation":"[2]","plainTextFormattedCitation":"[2]","previouslyFormattedCitation":"[3]"},"properties":{"noteIndex":0},"schema":"https://github.com/citation-style-language/schema/raw/master/csl-citation.json"}</w:instrText>
            </w:r>
            <w:r w:rsidRPr="007936D3">
              <w:rPr>
                <w:rFonts w:ascii="Palatino Linotype" w:hAnsi="Palatino Linotype" w:cs="Arial"/>
                <w:sz w:val="20"/>
              </w:rPr>
              <w:fldChar w:fldCharType="separate"/>
            </w:r>
            <w:r w:rsidR="00294EA1" w:rsidRPr="007936D3">
              <w:rPr>
                <w:rFonts w:ascii="Palatino Linotype" w:hAnsi="Palatino Linotype" w:cs="Arial"/>
                <w:noProof/>
                <w:sz w:val="20"/>
              </w:rPr>
              <w:t>[2]</w:t>
            </w:r>
            <w:r w:rsidRPr="007936D3">
              <w:rPr>
                <w:rFonts w:ascii="Palatino Linotype" w:hAnsi="Palatino Linotype" w:cs="Arial"/>
                <w:sz w:val="20"/>
              </w:rPr>
              <w:fldChar w:fldCharType="end"/>
            </w:r>
          </w:p>
        </w:tc>
        <w:tc>
          <w:tcPr>
            <w:tcW w:w="1716" w:type="dxa"/>
            <w:shd w:val="clear" w:color="auto" w:fill="auto"/>
            <w:vAlign w:val="center"/>
          </w:tcPr>
          <w:p w14:paraId="41AE5CB2" w14:textId="77777777" w:rsidR="00164144" w:rsidRPr="007936D3" w:rsidRDefault="00164144" w:rsidP="007936D3">
            <w:pPr>
              <w:pStyle w:val="NoSpacing"/>
              <w:autoSpaceDE w:val="0"/>
              <w:autoSpaceDN w:val="0"/>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20"/>
              </w:rPr>
            </w:pPr>
            <w:r w:rsidRPr="007936D3">
              <w:rPr>
                <w:rFonts w:ascii="Palatino Linotype" w:hAnsi="Palatino Linotype" w:cs="Arial"/>
                <w:sz w:val="20"/>
              </w:rPr>
              <w:t>molecule</w:t>
            </w:r>
            <w:r w:rsidRPr="007936D3">
              <w:rPr>
                <w:rFonts w:ascii="Palatino Linotype" w:hAnsi="Palatino Linotype" w:cs="Arial"/>
                <w:sz w:val="20"/>
                <w:vertAlign w:val="superscript"/>
              </w:rPr>
              <w:t xml:space="preserve">-1 </w:t>
            </w:r>
            <w:r w:rsidRPr="007936D3">
              <w:rPr>
                <w:rFonts w:ascii="Palatino Linotype" w:hAnsi="Palatino Linotype" w:cs="Arial"/>
                <w:sz w:val="20"/>
              </w:rPr>
              <w:t>s</w:t>
            </w:r>
            <w:r w:rsidRPr="007936D3">
              <w:rPr>
                <w:rFonts w:ascii="Palatino Linotype" w:hAnsi="Palatino Linotype" w:cs="Arial"/>
                <w:sz w:val="20"/>
                <w:vertAlign w:val="superscript"/>
              </w:rPr>
              <w:t>-1</w:t>
            </w:r>
          </w:p>
        </w:tc>
      </w:tr>
      <w:tr w:rsidR="00164144" w:rsidRPr="007936D3" w14:paraId="46030C5F" w14:textId="77777777" w:rsidTr="007936D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81" w:type="dxa"/>
            <w:shd w:val="clear" w:color="auto" w:fill="auto"/>
            <w:vAlign w:val="center"/>
          </w:tcPr>
          <w:p w14:paraId="45FE52DD" w14:textId="77777777" w:rsidR="00164144" w:rsidRPr="007936D3" w:rsidRDefault="00164144" w:rsidP="007936D3">
            <w:pPr>
              <w:pStyle w:val="NoSpacing"/>
              <w:autoSpaceDE w:val="0"/>
              <w:autoSpaceDN w:val="0"/>
              <w:adjustRightInd w:val="0"/>
              <w:snapToGrid w:val="0"/>
              <w:jc w:val="center"/>
              <w:rPr>
                <w:rFonts w:ascii="Palatino Linotype" w:hAnsi="Palatino Linotype" w:cs="Arial"/>
                <w:b w:val="0"/>
                <w:i/>
                <w:sz w:val="20"/>
              </w:rPr>
            </w:pPr>
            <w:proofErr w:type="spellStart"/>
            <w:r w:rsidRPr="007936D3">
              <w:rPr>
                <w:rFonts w:ascii="Palatino Linotype" w:hAnsi="Palatino Linotype" w:cs="Arial"/>
                <w:b w:val="0"/>
                <w:sz w:val="20"/>
              </w:rPr>
              <w:t>ak</w:t>
            </w:r>
            <w:r w:rsidRPr="007936D3">
              <w:rPr>
                <w:rFonts w:ascii="Palatino Linotype" w:hAnsi="Palatino Linotype" w:cs="Arial"/>
                <w:b w:val="0"/>
                <w:sz w:val="20"/>
                <w:vertAlign w:val="subscript"/>
              </w:rPr>
              <w:t>dim</w:t>
            </w:r>
            <w:proofErr w:type="spellEnd"/>
          </w:p>
        </w:tc>
        <w:tc>
          <w:tcPr>
            <w:tcW w:w="1923" w:type="dxa"/>
            <w:shd w:val="clear" w:color="auto" w:fill="auto"/>
            <w:vAlign w:val="center"/>
          </w:tcPr>
          <w:p w14:paraId="48BDBF20" w14:textId="0432B4D4" w:rsidR="00164144" w:rsidRPr="007936D3" w:rsidRDefault="00164144" w:rsidP="007936D3">
            <w:pPr>
              <w:pStyle w:val="NoSpacing"/>
              <w:autoSpaceDE w:val="0"/>
              <w:autoSpaceDN w:val="0"/>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20"/>
              </w:rPr>
            </w:pPr>
            <w:r w:rsidRPr="007936D3">
              <w:rPr>
                <w:rFonts w:ascii="Palatino Linotype" w:hAnsi="Palatino Linotype" w:cs="Arial"/>
                <w:sz w:val="20"/>
              </w:rPr>
              <w:t xml:space="preserve">1.0 </w:t>
            </w:r>
            <w:r w:rsidRPr="007936D3">
              <w:rPr>
                <w:rFonts w:ascii="Palatino Linotype" w:hAnsi="Palatino Linotype" w:cs="Arial"/>
                <w:sz w:val="20"/>
              </w:rPr>
              <w:fldChar w:fldCharType="begin" w:fldLock="1"/>
            </w:r>
            <w:r w:rsidR="00294EA1" w:rsidRPr="007936D3">
              <w:rPr>
                <w:rFonts w:ascii="Palatino Linotype" w:hAnsi="Palatino Linotype" w:cs="Arial"/>
                <w:sz w:val="20"/>
              </w:rPr>
              <w:instrText>ADDIN CSL_CITATION {"citationItems":[{"id":"ITEM-1","itemData":{"DOI":"10.1039/c4mb00022f","ISSN":"1742-2051","PMID":"24736836","abstract":"Cooperativity of ligand-receptor binding influences the input-output behavior of a biochemical system and thus is an important determinant of its physiological function. Canonically, such cooperativity is understood in terms of ligand-receptor binding affinity, where an initial binding event changes the affinity for subsequent binding events. Here, we demonstrate that dimerization-a simple yet pervasive signaling motif across biology-can have significant control over cooperativity and even dominate over the canonical mechanism. Through an exhaustive parameter sensitivity analysis of a general kinetic model for signal-mediated dimerization, we show that quantitative modulation of dimerization processes can reinforce, eliminate, and even reverse cooperativity imposed by the canonical allosteric ligand-receptor binding affinity mechanism. The favored accumulation of stoichiometrically asymmetric dimers (those with ligand-receptor stoichiometry of 1 : 2) is a major determinant of dimerization-based cooperativity control. However, simulations demonstrate that favoring accumulation of such stoichiometrically asymmetric dimers can either increase or decrease cooperativity, and thus the quantitative relationship between stoichiometrically asymmetric dimers and cooperativity is highly dependent on the parameter values of the particular system of interest. These results suggest that the dimerization motif provides a novel mechanism for both generating and quantitatively tuning cooperativity that, due to the ubiquity of dimerization motifs in biochemical systems, may play a major role in a host of biological functions. Thus, the canonical, allosteric view of cooperativity is incomplete without considering dimerization effects, which is of particular importance as dimerization is often a necessary feature of the allosteric mechanism.","author":[{"dropping-particle":"","family":"Bouhaddou","given":"Mehdi","non-dropping-particle":"","parse-names":false,"suffix":""},{"dropping-particle":"","family":"Birtwistle","given":"Marc R","non-dropping-particle":"","parse-names":false,"suffix":""}],"container-title":"Molecular bioSystems","id":"ITEM-1","issue":"7","issued":{"date-parts":[["2014","7"]]},"page":"1824-32","title":"Dimerization-based control of cooperativity.","type":"article-journal","volume":"10"},"uris":["http://www.mendeley.com/documents/?uuid=65c41079-08d1-4dd1-8833-45e504da159b"]}],"mendeley":{"formattedCitation":"[2]","plainTextFormattedCitation":"[2]","previouslyFormattedCitation":"[3]"},"properties":{"noteIndex":0},"schema":"https://github.com/citation-style-language/schema/raw/master/csl-citation.json"}</w:instrText>
            </w:r>
            <w:r w:rsidRPr="007936D3">
              <w:rPr>
                <w:rFonts w:ascii="Palatino Linotype" w:hAnsi="Palatino Linotype" w:cs="Arial"/>
                <w:sz w:val="20"/>
              </w:rPr>
              <w:fldChar w:fldCharType="separate"/>
            </w:r>
            <w:r w:rsidR="00294EA1" w:rsidRPr="007936D3">
              <w:rPr>
                <w:rFonts w:ascii="Palatino Linotype" w:hAnsi="Palatino Linotype" w:cs="Arial"/>
                <w:noProof/>
                <w:sz w:val="20"/>
              </w:rPr>
              <w:t>[2]</w:t>
            </w:r>
            <w:r w:rsidRPr="007936D3">
              <w:rPr>
                <w:rFonts w:ascii="Palatino Linotype" w:hAnsi="Palatino Linotype" w:cs="Arial"/>
                <w:sz w:val="20"/>
              </w:rPr>
              <w:fldChar w:fldCharType="end"/>
            </w:r>
          </w:p>
        </w:tc>
        <w:tc>
          <w:tcPr>
            <w:tcW w:w="1716" w:type="dxa"/>
            <w:shd w:val="clear" w:color="auto" w:fill="auto"/>
            <w:vAlign w:val="center"/>
          </w:tcPr>
          <w:p w14:paraId="325A1C79" w14:textId="77777777" w:rsidR="00164144" w:rsidRPr="007936D3" w:rsidRDefault="00164144" w:rsidP="007936D3">
            <w:pPr>
              <w:pStyle w:val="NoSpacing"/>
              <w:autoSpaceDE w:val="0"/>
              <w:autoSpaceDN w:val="0"/>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20"/>
              </w:rPr>
            </w:pPr>
            <w:r w:rsidRPr="007936D3">
              <w:rPr>
                <w:rFonts w:ascii="Palatino Linotype" w:hAnsi="Palatino Linotype" w:cs="Arial"/>
                <w:sz w:val="20"/>
              </w:rPr>
              <w:t>s</w:t>
            </w:r>
            <w:r w:rsidRPr="007936D3">
              <w:rPr>
                <w:rFonts w:ascii="Palatino Linotype" w:hAnsi="Palatino Linotype" w:cs="Arial"/>
                <w:sz w:val="20"/>
                <w:vertAlign w:val="superscript"/>
              </w:rPr>
              <w:t>-1</w:t>
            </w:r>
          </w:p>
        </w:tc>
      </w:tr>
    </w:tbl>
    <w:p w14:paraId="7DFE7E1C" w14:textId="77777777" w:rsidR="004A4556" w:rsidRPr="007936D3" w:rsidRDefault="004A4556" w:rsidP="007936D3">
      <w:pPr>
        <w:jc w:val="center"/>
        <w:rPr>
          <w:rFonts w:ascii="Palatino Linotype" w:hAnsi="Palatino Linotype" w:cs="Arial"/>
          <w:b/>
        </w:rPr>
      </w:pPr>
    </w:p>
    <w:p w14:paraId="4BFD3B60" w14:textId="0AC9A251" w:rsidR="00207167" w:rsidRPr="007936D3" w:rsidRDefault="00701C50" w:rsidP="00701C50">
      <w:pPr>
        <w:rPr>
          <w:rFonts w:ascii="Palatino Linotype" w:hAnsi="Palatino Linotype" w:cs="Arial"/>
          <w:b/>
        </w:rPr>
      </w:pPr>
      <w:r w:rsidRPr="007936D3">
        <w:rPr>
          <w:rFonts w:ascii="Palatino Linotype" w:hAnsi="Palatino Linotype" w:cs="Arial"/>
          <w:b/>
        </w:rPr>
        <w:t xml:space="preserve">Supplementary </w:t>
      </w:r>
      <w:r w:rsidR="004C33BA" w:rsidRPr="007936D3">
        <w:rPr>
          <w:rFonts w:ascii="Palatino Linotype" w:hAnsi="Palatino Linotype" w:cs="Arial"/>
          <w:b/>
        </w:rPr>
        <w:t xml:space="preserve">Table </w:t>
      </w:r>
      <w:r w:rsidRPr="007936D3">
        <w:rPr>
          <w:rFonts w:ascii="Palatino Linotype" w:hAnsi="Palatino Linotype" w:cs="Arial"/>
          <w:b/>
        </w:rPr>
        <w:t>S</w:t>
      </w:r>
      <w:r w:rsidR="004C33BA" w:rsidRPr="007936D3">
        <w:rPr>
          <w:rFonts w:ascii="Palatino Linotype" w:hAnsi="Palatino Linotype" w:cs="Arial"/>
          <w:b/>
        </w:rPr>
        <w:t>2</w:t>
      </w:r>
      <w:r w:rsidR="004A4556" w:rsidRPr="007936D3">
        <w:rPr>
          <w:rFonts w:ascii="Palatino Linotype" w:hAnsi="Palatino Linotype" w:cs="Arial"/>
          <w:b/>
        </w:rPr>
        <w:t xml:space="preserve">. </w:t>
      </w:r>
      <w:r w:rsidR="003029B5" w:rsidRPr="007936D3">
        <w:rPr>
          <w:rFonts w:ascii="Palatino Linotype" w:hAnsi="Palatino Linotype" w:cs="Arial"/>
          <w:b/>
        </w:rPr>
        <w:t>Generalized two,</w:t>
      </w:r>
      <w:r w:rsidR="004A4556" w:rsidRPr="007936D3">
        <w:rPr>
          <w:rFonts w:ascii="Palatino Linotype" w:hAnsi="Palatino Linotype" w:cs="Arial"/>
          <w:b/>
        </w:rPr>
        <w:t xml:space="preserve"> three</w:t>
      </w:r>
      <w:r w:rsidR="003029B5" w:rsidRPr="007936D3">
        <w:rPr>
          <w:rFonts w:ascii="Palatino Linotype" w:hAnsi="Palatino Linotype" w:cs="Arial"/>
          <w:b/>
        </w:rPr>
        <w:t>, and four</w:t>
      </w:r>
      <w:r w:rsidR="004A4556" w:rsidRPr="007936D3">
        <w:rPr>
          <w:rFonts w:ascii="Palatino Linotype" w:hAnsi="Palatino Linotype" w:cs="Arial"/>
          <w:b/>
        </w:rPr>
        <w:t xml:space="preserve"> receptor model parameter variation values applied</w:t>
      </w:r>
    </w:p>
    <w:tbl>
      <w:tblPr>
        <w:tblStyle w:val="GridTable6Colorful"/>
        <w:tblW w:w="0" w:type="auto"/>
        <w:jc w:val="center"/>
        <w:tblBorders>
          <w:top w:val="single" w:sz="8" w:space="0" w:color="auto"/>
          <w:left w:val="none" w:sz="0" w:space="0" w:color="auto"/>
          <w:bottom w:val="single" w:sz="8" w:space="0" w:color="auto"/>
          <w:right w:val="none" w:sz="0" w:space="0" w:color="auto"/>
          <w:insideH w:val="none" w:sz="0" w:space="0" w:color="auto"/>
          <w:insideV w:val="none" w:sz="0" w:space="0" w:color="auto"/>
        </w:tblBorders>
        <w:tblLook w:val="04A0" w:firstRow="1" w:lastRow="0" w:firstColumn="1" w:lastColumn="0" w:noHBand="0" w:noVBand="1"/>
      </w:tblPr>
      <w:tblGrid>
        <w:gridCol w:w="1141"/>
        <w:gridCol w:w="7116"/>
      </w:tblGrid>
      <w:tr w:rsidR="004A4556" w:rsidRPr="007936D3" w14:paraId="289B2278" w14:textId="77777777" w:rsidTr="007936D3">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gridSpan w:val="2"/>
            <w:tcBorders>
              <w:top w:val="single" w:sz="8" w:space="0" w:color="auto"/>
              <w:bottom w:val="single" w:sz="8" w:space="0" w:color="auto"/>
            </w:tcBorders>
            <w:shd w:val="clear" w:color="auto" w:fill="auto"/>
            <w:vAlign w:val="center"/>
          </w:tcPr>
          <w:p w14:paraId="1069096C" w14:textId="77777777" w:rsidR="004A4556" w:rsidRPr="007936D3" w:rsidRDefault="004A4556" w:rsidP="007936D3">
            <w:pPr>
              <w:autoSpaceDE w:val="0"/>
              <w:autoSpaceDN w:val="0"/>
              <w:adjustRightInd w:val="0"/>
              <w:snapToGrid w:val="0"/>
              <w:jc w:val="center"/>
              <w:rPr>
                <w:rFonts w:ascii="Palatino Linotype" w:hAnsi="Palatino Linotype" w:cs="Arial"/>
                <w:b w:val="0"/>
                <w:i/>
                <w:sz w:val="20"/>
              </w:rPr>
            </w:pPr>
            <w:r w:rsidRPr="007936D3">
              <w:rPr>
                <w:rFonts w:ascii="Palatino Linotype" w:hAnsi="Palatino Linotype" w:cs="Arial"/>
                <w:sz w:val="20"/>
              </w:rPr>
              <w:t>Two Receptor Model</w:t>
            </w:r>
          </w:p>
        </w:tc>
      </w:tr>
      <w:tr w:rsidR="007936D3" w:rsidRPr="007936D3" w14:paraId="345F43F6" w14:textId="77777777" w:rsidTr="007936D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Borders>
              <w:top w:val="single" w:sz="8" w:space="0" w:color="auto"/>
            </w:tcBorders>
            <w:shd w:val="clear" w:color="auto" w:fill="auto"/>
            <w:vAlign w:val="center"/>
          </w:tcPr>
          <w:p w14:paraId="62860BD7" w14:textId="77777777" w:rsidR="004A4556" w:rsidRPr="007936D3" w:rsidRDefault="004A4556" w:rsidP="007936D3">
            <w:pPr>
              <w:pStyle w:val="NoSpacing"/>
              <w:autoSpaceDE w:val="0"/>
              <w:autoSpaceDN w:val="0"/>
              <w:adjustRightInd w:val="0"/>
              <w:snapToGrid w:val="0"/>
              <w:jc w:val="center"/>
              <w:rPr>
                <w:rFonts w:ascii="Palatino Linotype" w:hAnsi="Palatino Linotype" w:cs="Arial"/>
                <w:b w:val="0"/>
                <w:i/>
                <w:sz w:val="20"/>
              </w:rPr>
            </w:pPr>
            <w:r w:rsidRPr="007936D3">
              <w:rPr>
                <w:rFonts w:ascii="Palatino Linotype" w:hAnsi="Palatino Linotype" w:cs="Arial"/>
                <w:b w:val="0"/>
                <w:sz w:val="20"/>
              </w:rPr>
              <w:t>Parameter</w:t>
            </w:r>
          </w:p>
        </w:tc>
        <w:tc>
          <w:tcPr>
            <w:tcW w:w="0" w:type="auto"/>
            <w:tcBorders>
              <w:top w:val="single" w:sz="8" w:space="0" w:color="auto"/>
            </w:tcBorders>
            <w:shd w:val="clear" w:color="auto" w:fill="auto"/>
            <w:vAlign w:val="center"/>
          </w:tcPr>
          <w:p w14:paraId="4B81246D" w14:textId="6353114D" w:rsidR="004A4556" w:rsidRPr="007936D3" w:rsidRDefault="005F4C32" w:rsidP="007936D3">
            <w:pPr>
              <w:autoSpaceDE w:val="0"/>
              <w:autoSpaceDN w:val="0"/>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20"/>
              </w:rPr>
            </w:pPr>
            <w:r w:rsidRPr="007936D3">
              <w:rPr>
                <w:rFonts w:ascii="Palatino Linotype" w:hAnsi="Palatino Linotype" w:cs="Arial"/>
                <w:sz w:val="20"/>
              </w:rPr>
              <w:t>Ratios</w:t>
            </w:r>
          </w:p>
        </w:tc>
      </w:tr>
      <w:tr w:rsidR="004A4556" w:rsidRPr="007936D3" w14:paraId="351F3E35" w14:textId="77777777" w:rsidTr="007936D3">
        <w:trPr>
          <w:jc w:val="center"/>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14:paraId="45BF1074" w14:textId="77777777" w:rsidR="004A4556" w:rsidRPr="007936D3" w:rsidRDefault="004A4556" w:rsidP="007936D3">
            <w:pPr>
              <w:pStyle w:val="NoSpacing"/>
              <w:autoSpaceDE w:val="0"/>
              <w:autoSpaceDN w:val="0"/>
              <w:adjustRightInd w:val="0"/>
              <w:snapToGrid w:val="0"/>
              <w:jc w:val="center"/>
              <w:rPr>
                <w:rFonts w:ascii="Palatino Linotype" w:hAnsi="Palatino Linotype" w:cs="Arial"/>
                <w:b w:val="0"/>
                <w:i/>
                <w:sz w:val="20"/>
              </w:rPr>
            </w:pPr>
            <w:r w:rsidRPr="007936D3">
              <w:rPr>
                <w:rFonts w:ascii="Palatino Linotype" w:hAnsi="Palatino Linotype" w:cs="Arial"/>
                <w:b w:val="0"/>
                <w:sz w:val="20"/>
              </w:rPr>
              <w:t>R</w:t>
            </w:r>
            <w:r w:rsidRPr="007936D3">
              <w:rPr>
                <w:rFonts w:ascii="Palatino Linotype" w:hAnsi="Palatino Linotype" w:cs="Arial"/>
                <w:b w:val="0"/>
                <w:sz w:val="20"/>
                <w:vertAlign w:val="subscript"/>
              </w:rPr>
              <w:t xml:space="preserve">1 </w:t>
            </w:r>
            <w:r w:rsidRPr="007936D3">
              <w:rPr>
                <w:rFonts w:ascii="Palatino Linotype" w:hAnsi="Palatino Linotype" w:cs="Arial"/>
                <w:b w:val="0"/>
                <w:sz w:val="20"/>
              </w:rPr>
              <w:t>/ R</w:t>
            </w:r>
            <w:r w:rsidRPr="007936D3">
              <w:rPr>
                <w:rFonts w:ascii="Palatino Linotype" w:hAnsi="Palatino Linotype" w:cs="Arial"/>
                <w:b w:val="0"/>
                <w:sz w:val="20"/>
                <w:vertAlign w:val="subscript"/>
              </w:rPr>
              <w:t>2</w:t>
            </w:r>
          </w:p>
        </w:tc>
        <w:tc>
          <w:tcPr>
            <w:tcW w:w="0" w:type="auto"/>
            <w:shd w:val="clear" w:color="auto" w:fill="auto"/>
            <w:vAlign w:val="center"/>
          </w:tcPr>
          <w:p w14:paraId="4DE7150C" w14:textId="551B25CC" w:rsidR="004A4556" w:rsidRPr="007936D3" w:rsidRDefault="004A4556" w:rsidP="007936D3">
            <w:pPr>
              <w:autoSpaceDE w:val="0"/>
              <w:autoSpaceDN w:val="0"/>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20"/>
              </w:rPr>
            </w:pPr>
            <w:r w:rsidRPr="007936D3">
              <w:rPr>
                <w:rFonts w:ascii="Palatino Linotype" w:hAnsi="Palatino Linotype" w:cs="Arial"/>
                <w:sz w:val="20"/>
              </w:rPr>
              <w:t>0.1</w:t>
            </w:r>
            <w:r w:rsidR="00F227E0" w:rsidRPr="007936D3">
              <w:rPr>
                <w:rFonts w:ascii="Palatino Linotype" w:hAnsi="Palatino Linotype" w:cs="Arial"/>
                <w:sz w:val="20"/>
              </w:rPr>
              <w:t>—</w:t>
            </w:r>
            <w:r w:rsidRPr="007936D3">
              <w:rPr>
                <w:rFonts w:ascii="Palatino Linotype" w:hAnsi="Palatino Linotype" w:cs="Arial"/>
                <w:sz w:val="20"/>
              </w:rPr>
              <w:t>10</w:t>
            </w:r>
            <w:r w:rsidR="00F227E0" w:rsidRPr="007936D3">
              <w:rPr>
                <w:rFonts w:ascii="Palatino Linotype" w:hAnsi="Palatino Linotype" w:cs="Arial"/>
                <w:sz w:val="20"/>
              </w:rPr>
              <w:t xml:space="preserve">.0 </w:t>
            </w:r>
          </w:p>
        </w:tc>
      </w:tr>
      <w:tr w:rsidR="007936D3" w:rsidRPr="007936D3" w14:paraId="56ACDF43" w14:textId="77777777" w:rsidTr="007936D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14:paraId="0AA250B9" w14:textId="77777777" w:rsidR="004A4556" w:rsidRPr="007936D3" w:rsidRDefault="004A4556" w:rsidP="007936D3">
            <w:pPr>
              <w:pStyle w:val="NoSpacing"/>
              <w:autoSpaceDE w:val="0"/>
              <w:autoSpaceDN w:val="0"/>
              <w:adjustRightInd w:val="0"/>
              <w:snapToGrid w:val="0"/>
              <w:jc w:val="center"/>
              <w:rPr>
                <w:rFonts w:ascii="Palatino Linotype" w:hAnsi="Palatino Linotype" w:cs="Arial"/>
                <w:b w:val="0"/>
                <w:i/>
                <w:sz w:val="20"/>
              </w:rPr>
            </w:pPr>
            <w:r w:rsidRPr="007936D3">
              <w:rPr>
                <w:rFonts w:ascii="Palatino Linotype" w:hAnsi="Palatino Linotype" w:cs="Arial"/>
                <w:b w:val="0"/>
                <w:sz w:val="20"/>
              </w:rPr>
              <w:t>k</w:t>
            </w:r>
            <w:r w:rsidRPr="007936D3">
              <w:rPr>
                <w:rFonts w:ascii="Palatino Linotype" w:hAnsi="Palatino Linotype" w:cs="Arial"/>
                <w:b w:val="0"/>
                <w:sz w:val="20"/>
                <w:vertAlign w:val="subscript"/>
              </w:rPr>
              <w:t>L1</w:t>
            </w:r>
            <w:r w:rsidRPr="007936D3">
              <w:rPr>
                <w:rFonts w:ascii="Palatino Linotype" w:hAnsi="Palatino Linotype" w:cs="Arial"/>
                <w:b w:val="0"/>
                <w:sz w:val="20"/>
              </w:rPr>
              <w:t xml:space="preserve"> / k</w:t>
            </w:r>
            <w:r w:rsidRPr="007936D3">
              <w:rPr>
                <w:rFonts w:ascii="Palatino Linotype" w:hAnsi="Palatino Linotype" w:cs="Arial"/>
                <w:b w:val="0"/>
                <w:sz w:val="20"/>
                <w:vertAlign w:val="subscript"/>
              </w:rPr>
              <w:t>L2</w:t>
            </w:r>
          </w:p>
        </w:tc>
        <w:tc>
          <w:tcPr>
            <w:tcW w:w="0" w:type="auto"/>
            <w:shd w:val="clear" w:color="auto" w:fill="auto"/>
            <w:vAlign w:val="center"/>
          </w:tcPr>
          <w:p w14:paraId="0FFF780A" w14:textId="3480B3AB" w:rsidR="004A4556" w:rsidRPr="007936D3" w:rsidRDefault="004A4556" w:rsidP="007936D3">
            <w:pPr>
              <w:autoSpaceDE w:val="0"/>
              <w:autoSpaceDN w:val="0"/>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20"/>
              </w:rPr>
            </w:pPr>
            <w:r w:rsidRPr="007936D3">
              <w:rPr>
                <w:rFonts w:ascii="Palatino Linotype" w:hAnsi="Palatino Linotype" w:cs="Arial"/>
                <w:sz w:val="20"/>
              </w:rPr>
              <w:t>1</w:t>
            </w:r>
            <w:r w:rsidR="00F227E0" w:rsidRPr="007936D3">
              <w:rPr>
                <w:rFonts w:ascii="Palatino Linotype" w:hAnsi="Palatino Linotype" w:cs="Arial"/>
                <w:sz w:val="20"/>
              </w:rPr>
              <w:t>0</w:t>
            </w:r>
            <w:r w:rsidR="00F227E0" w:rsidRPr="007936D3">
              <w:rPr>
                <w:rFonts w:ascii="Palatino Linotype" w:hAnsi="Palatino Linotype" w:cs="Arial"/>
                <w:sz w:val="20"/>
                <w:vertAlign w:val="superscript"/>
              </w:rPr>
              <w:t>-3</w:t>
            </w:r>
            <w:r w:rsidR="00F227E0" w:rsidRPr="007936D3">
              <w:rPr>
                <w:rFonts w:ascii="Palatino Linotype" w:hAnsi="Palatino Linotype" w:cs="Arial"/>
                <w:sz w:val="20"/>
              </w:rPr>
              <w:t>—10</w:t>
            </w:r>
            <w:r w:rsidR="00F227E0" w:rsidRPr="007936D3">
              <w:rPr>
                <w:rFonts w:ascii="Palatino Linotype" w:hAnsi="Palatino Linotype" w:cs="Arial"/>
                <w:sz w:val="20"/>
                <w:vertAlign w:val="superscript"/>
              </w:rPr>
              <w:t>+3</w:t>
            </w:r>
          </w:p>
        </w:tc>
      </w:tr>
      <w:tr w:rsidR="004A4556" w:rsidRPr="007936D3" w14:paraId="6B54F672" w14:textId="77777777" w:rsidTr="007936D3">
        <w:trPr>
          <w:jc w:val="center"/>
        </w:trPr>
        <w:tc>
          <w:tcPr>
            <w:cnfStyle w:val="001000000000" w:firstRow="0" w:lastRow="0" w:firstColumn="1" w:lastColumn="0" w:oddVBand="0" w:evenVBand="0" w:oddHBand="0" w:evenHBand="0" w:firstRowFirstColumn="0" w:firstRowLastColumn="0" w:lastRowFirstColumn="0" w:lastRowLastColumn="0"/>
            <w:tcW w:w="0" w:type="auto"/>
            <w:gridSpan w:val="2"/>
            <w:shd w:val="clear" w:color="auto" w:fill="auto"/>
            <w:vAlign w:val="center"/>
          </w:tcPr>
          <w:p w14:paraId="40FE000E" w14:textId="77777777" w:rsidR="004A4556" w:rsidRPr="007936D3" w:rsidRDefault="004A4556" w:rsidP="007936D3">
            <w:pPr>
              <w:autoSpaceDE w:val="0"/>
              <w:autoSpaceDN w:val="0"/>
              <w:adjustRightInd w:val="0"/>
              <w:snapToGrid w:val="0"/>
              <w:jc w:val="center"/>
              <w:rPr>
                <w:rFonts w:ascii="Palatino Linotype" w:hAnsi="Palatino Linotype" w:cs="Arial"/>
                <w:b w:val="0"/>
                <w:i/>
                <w:sz w:val="20"/>
              </w:rPr>
            </w:pPr>
            <w:r w:rsidRPr="007936D3">
              <w:rPr>
                <w:rFonts w:ascii="Palatino Linotype" w:hAnsi="Palatino Linotype" w:cs="Arial"/>
                <w:b w:val="0"/>
                <w:sz w:val="20"/>
              </w:rPr>
              <w:t>Three Receptor Model</w:t>
            </w:r>
          </w:p>
        </w:tc>
      </w:tr>
      <w:tr w:rsidR="007936D3" w:rsidRPr="007936D3" w14:paraId="3CFBBBA1" w14:textId="77777777" w:rsidTr="007936D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14:paraId="357F59B1" w14:textId="77777777" w:rsidR="004A4556" w:rsidRPr="007936D3" w:rsidRDefault="004A4556" w:rsidP="007936D3">
            <w:pPr>
              <w:autoSpaceDE w:val="0"/>
              <w:autoSpaceDN w:val="0"/>
              <w:adjustRightInd w:val="0"/>
              <w:snapToGrid w:val="0"/>
              <w:jc w:val="center"/>
              <w:rPr>
                <w:rFonts w:ascii="Palatino Linotype" w:hAnsi="Palatino Linotype" w:cs="Arial"/>
                <w:b w:val="0"/>
                <w:i/>
                <w:sz w:val="20"/>
              </w:rPr>
            </w:pPr>
            <w:r w:rsidRPr="007936D3">
              <w:rPr>
                <w:rFonts w:ascii="Palatino Linotype" w:hAnsi="Palatino Linotype" w:cs="Arial"/>
                <w:b w:val="0"/>
                <w:sz w:val="20"/>
              </w:rPr>
              <w:t>Parameter</w:t>
            </w:r>
          </w:p>
        </w:tc>
        <w:tc>
          <w:tcPr>
            <w:tcW w:w="0" w:type="auto"/>
            <w:shd w:val="clear" w:color="auto" w:fill="auto"/>
            <w:vAlign w:val="center"/>
          </w:tcPr>
          <w:p w14:paraId="71A0B2E4" w14:textId="76453550" w:rsidR="004A4556" w:rsidRPr="007936D3" w:rsidRDefault="005F4C32" w:rsidP="007936D3">
            <w:pPr>
              <w:autoSpaceDE w:val="0"/>
              <w:autoSpaceDN w:val="0"/>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20"/>
              </w:rPr>
            </w:pPr>
            <w:r w:rsidRPr="007936D3">
              <w:rPr>
                <w:rFonts w:ascii="Palatino Linotype" w:hAnsi="Palatino Linotype" w:cs="Arial"/>
                <w:sz w:val="20"/>
              </w:rPr>
              <w:t>Ratios</w:t>
            </w:r>
          </w:p>
        </w:tc>
      </w:tr>
      <w:tr w:rsidR="004A4556" w:rsidRPr="007936D3" w14:paraId="5D107004" w14:textId="77777777" w:rsidTr="007936D3">
        <w:trPr>
          <w:jc w:val="center"/>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14:paraId="2059F16C" w14:textId="77777777" w:rsidR="004A4556" w:rsidRPr="007936D3" w:rsidRDefault="004A4556" w:rsidP="007936D3">
            <w:pPr>
              <w:autoSpaceDE w:val="0"/>
              <w:autoSpaceDN w:val="0"/>
              <w:adjustRightInd w:val="0"/>
              <w:snapToGrid w:val="0"/>
              <w:jc w:val="center"/>
              <w:rPr>
                <w:rFonts w:ascii="Palatino Linotype" w:hAnsi="Palatino Linotype" w:cs="Arial"/>
                <w:b w:val="0"/>
                <w:i/>
                <w:sz w:val="20"/>
                <w:vertAlign w:val="subscript"/>
              </w:rPr>
            </w:pPr>
            <w:proofErr w:type="gramStart"/>
            <w:r w:rsidRPr="007936D3">
              <w:rPr>
                <w:rFonts w:ascii="Palatino Linotype" w:hAnsi="Palatino Linotype" w:cs="Arial"/>
                <w:b w:val="0"/>
                <w:sz w:val="20"/>
              </w:rPr>
              <w:t>R</w:t>
            </w:r>
            <w:r w:rsidRPr="007936D3">
              <w:rPr>
                <w:rFonts w:ascii="Palatino Linotype" w:hAnsi="Palatino Linotype" w:cs="Arial"/>
                <w:b w:val="0"/>
                <w:sz w:val="20"/>
                <w:vertAlign w:val="subscript"/>
              </w:rPr>
              <w:t>1</w:t>
            </w:r>
            <w:r w:rsidRPr="007936D3">
              <w:rPr>
                <w:rFonts w:ascii="Palatino Linotype" w:hAnsi="Palatino Linotype" w:cs="Arial"/>
                <w:b w:val="0"/>
                <w:sz w:val="20"/>
              </w:rPr>
              <w:t>:R</w:t>
            </w:r>
            <w:r w:rsidRPr="007936D3">
              <w:rPr>
                <w:rFonts w:ascii="Palatino Linotype" w:hAnsi="Palatino Linotype" w:cs="Arial"/>
                <w:b w:val="0"/>
                <w:sz w:val="20"/>
                <w:vertAlign w:val="subscript"/>
              </w:rPr>
              <w:t>2</w:t>
            </w:r>
            <w:r w:rsidRPr="007936D3">
              <w:rPr>
                <w:rFonts w:ascii="Palatino Linotype" w:hAnsi="Palatino Linotype" w:cs="Arial"/>
                <w:b w:val="0"/>
                <w:sz w:val="20"/>
              </w:rPr>
              <w:t>:R</w:t>
            </w:r>
            <w:proofErr w:type="gramEnd"/>
            <w:r w:rsidRPr="007936D3">
              <w:rPr>
                <w:rFonts w:ascii="Palatino Linotype" w:hAnsi="Palatino Linotype" w:cs="Arial"/>
                <w:b w:val="0"/>
                <w:sz w:val="20"/>
                <w:vertAlign w:val="subscript"/>
              </w:rPr>
              <w:t>3</w:t>
            </w:r>
          </w:p>
        </w:tc>
        <w:tc>
          <w:tcPr>
            <w:tcW w:w="0" w:type="auto"/>
            <w:shd w:val="clear" w:color="auto" w:fill="auto"/>
            <w:vAlign w:val="center"/>
          </w:tcPr>
          <w:p w14:paraId="358F7F39" w14:textId="77777777" w:rsidR="004A4556" w:rsidRPr="007936D3" w:rsidRDefault="004A4556" w:rsidP="007936D3">
            <w:pPr>
              <w:autoSpaceDE w:val="0"/>
              <w:autoSpaceDN w:val="0"/>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20"/>
              </w:rPr>
            </w:pPr>
            <w:r w:rsidRPr="007936D3">
              <w:rPr>
                <w:rFonts w:ascii="Palatino Linotype" w:hAnsi="Palatino Linotype" w:cs="Arial"/>
                <w:sz w:val="20"/>
              </w:rPr>
              <w:t>1:1:1, 1:2:1, 2:1:1</w:t>
            </w:r>
          </w:p>
        </w:tc>
      </w:tr>
      <w:tr w:rsidR="007936D3" w:rsidRPr="007936D3" w14:paraId="4E2EE1AA" w14:textId="77777777" w:rsidTr="007936D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14:paraId="5AA64023" w14:textId="77777777" w:rsidR="004A4556" w:rsidRPr="007936D3" w:rsidRDefault="004A4556" w:rsidP="007936D3">
            <w:pPr>
              <w:autoSpaceDE w:val="0"/>
              <w:autoSpaceDN w:val="0"/>
              <w:adjustRightInd w:val="0"/>
              <w:snapToGrid w:val="0"/>
              <w:jc w:val="center"/>
              <w:rPr>
                <w:rFonts w:ascii="Palatino Linotype" w:hAnsi="Palatino Linotype" w:cs="Arial"/>
                <w:b w:val="0"/>
                <w:i/>
                <w:sz w:val="20"/>
                <w:vertAlign w:val="subscript"/>
              </w:rPr>
            </w:pPr>
            <w:r w:rsidRPr="007936D3">
              <w:rPr>
                <w:rFonts w:ascii="Palatino Linotype" w:hAnsi="Palatino Linotype" w:cs="Arial"/>
                <w:b w:val="0"/>
                <w:sz w:val="20"/>
              </w:rPr>
              <w:t>k</w:t>
            </w:r>
            <w:r w:rsidRPr="007936D3">
              <w:rPr>
                <w:rFonts w:ascii="Palatino Linotype" w:hAnsi="Palatino Linotype" w:cs="Arial"/>
                <w:b w:val="0"/>
                <w:sz w:val="20"/>
                <w:vertAlign w:val="subscript"/>
              </w:rPr>
              <w:t>L1</w:t>
            </w:r>
            <w:r w:rsidRPr="007936D3">
              <w:rPr>
                <w:rFonts w:ascii="Palatino Linotype" w:hAnsi="Palatino Linotype" w:cs="Arial"/>
                <w:b w:val="0"/>
                <w:sz w:val="20"/>
              </w:rPr>
              <w:t xml:space="preserve"> / k</w:t>
            </w:r>
            <w:r w:rsidRPr="007936D3">
              <w:rPr>
                <w:rFonts w:ascii="Palatino Linotype" w:hAnsi="Palatino Linotype" w:cs="Arial"/>
                <w:b w:val="0"/>
                <w:sz w:val="20"/>
                <w:vertAlign w:val="subscript"/>
              </w:rPr>
              <w:t>L2</w:t>
            </w:r>
          </w:p>
        </w:tc>
        <w:tc>
          <w:tcPr>
            <w:tcW w:w="0" w:type="auto"/>
            <w:shd w:val="clear" w:color="auto" w:fill="auto"/>
            <w:vAlign w:val="center"/>
          </w:tcPr>
          <w:p w14:paraId="36F77421" w14:textId="43DCB96C" w:rsidR="004A4556" w:rsidRPr="007936D3" w:rsidRDefault="008545D3" w:rsidP="007936D3">
            <w:pPr>
              <w:autoSpaceDE w:val="0"/>
              <w:autoSpaceDN w:val="0"/>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20"/>
              </w:rPr>
            </w:pPr>
            <w:r w:rsidRPr="007936D3">
              <w:rPr>
                <w:rFonts w:ascii="Palatino Linotype" w:hAnsi="Palatino Linotype" w:cs="Arial"/>
                <w:sz w:val="20"/>
              </w:rPr>
              <w:t>10</w:t>
            </w:r>
            <w:r w:rsidRPr="007936D3">
              <w:rPr>
                <w:rFonts w:ascii="Palatino Linotype" w:hAnsi="Palatino Linotype" w:cs="Arial"/>
                <w:sz w:val="20"/>
                <w:vertAlign w:val="superscript"/>
              </w:rPr>
              <w:t>-3</w:t>
            </w:r>
            <w:r w:rsidRPr="007936D3">
              <w:rPr>
                <w:rFonts w:ascii="Palatino Linotype" w:hAnsi="Palatino Linotype" w:cs="Arial"/>
                <w:sz w:val="20"/>
              </w:rPr>
              <w:t>—10</w:t>
            </w:r>
            <w:r w:rsidRPr="007936D3">
              <w:rPr>
                <w:rFonts w:ascii="Palatino Linotype" w:hAnsi="Palatino Linotype" w:cs="Arial"/>
                <w:sz w:val="20"/>
                <w:vertAlign w:val="superscript"/>
              </w:rPr>
              <w:t>+3</w:t>
            </w:r>
          </w:p>
        </w:tc>
      </w:tr>
      <w:tr w:rsidR="004A4556" w:rsidRPr="007936D3" w14:paraId="34DA546B" w14:textId="77777777" w:rsidTr="007936D3">
        <w:trPr>
          <w:jc w:val="center"/>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14:paraId="77942221" w14:textId="77777777" w:rsidR="004A4556" w:rsidRPr="007936D3" w:rsidRDefault="004A4556" w:rsidP="007936D3">
            <w:pPr>
              <w:autoSpaceDE w:val="0"/>
              <w:autoSpaceDN w:val="0"/>
              <w:adjustRightInd w:val="0"/>
              <w:snapToGrid w:val="0"/>
              <w:jc w:val="center"/>
              <w:rPr>
                <w:rFonts w:ascii="Palatino Linotype" w:hAnsi="Palatino Linotype" w:cs="Arial"/>
                <w:b w:val="0"/>
                <w:i/>
                <w:sz w:val="20"/>
              </w:rPr>
            </w:pPr>
            <w:r w:rsidRPr="007936D3">
              <w:rPr>
                <w:rFonts w:ascii="Palatino Linotype" w:hAnsi="Palatino Linotype" w:cs="Arial"/>
                <w:b w:val="0"/>
                <w:sz w:val="20"/>
              </w:rPr>
              <w:t>k</w:t>
            </w:r>
            <w:r w:rsidRPr="007936D3">
              <w:rPr>
                <w:rFonts w:ascii="Palatino Linotype" w:hAnsi="Palatino Linotype" w:cs="Arial"/>
                <w:b w:val="0"/>
                <w:sz w:val="20"/>
                <w:vertAlign w:val="subscript"/>
              </w:rPr>
              <w:t>L2</w:t>
            </w:r>
            <w:r w:rsidRPr="007936D3">
              <w:rPr>
                <w:rFonts w:ascii="Palatino Linotype" w:hAnsi="Palatino Linotype" w:cs="Arial"/>
                <w:b w:val="0"/>
                <w:sz w:val="20"/>
              </w:rPr>
              <w:t xml:space="preserve"> / k</w:t>
            </w:r>
            <w:r w:rsidRPr="007936D3">
              <w:rPr>
                <w:rFonts w:ascii="Palatino Linotype" w:hAnsi="Palatino Linotype" w:cs="Arial"/>
                <w:b w:val="0"/>
                <w:sz w:val="20"/>
                <w:vertAlign w:val="subscript"/>
              </w:rPr>
              <w:t>L3</w:t>
            </w:r>
          </w:p>
        </w:tc>
        <w:tc>
          <w:tcPr>
            <w:tcW w:w="0" w:type="auto"/>
            <w:shd w:val="clear" w:color="auto" w:fill="auto"/>
            <w:vAlign w:val="center"/>
          </w:tcPr>
          <w:p w14:paraId="08EE30FF" w14:textId="0F864154" w:rsidR="004A4556" w:rsidRPr="007936D3" w:rsidRDefault="008545D3" w:rsidP="007936D3">
            <w:pPr>
              <w:autoSpaceDE w:val="0"/>
              <w:autoSpaceDN w:val="0"/>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20"/>
              </w:rPr>
            </w:pPr>
            <w:r w:rsidRPr="007936D3">
              <w:rPr>
                <w:rFonts w:ascii="Palatino Linotype" w:hAnsi="Palatino Linotype" w:cs="Arial"/>
                <w:sz w:val="20"/>
              </w:rPr>
              <w:t>10</w:t>
            </w:r>
            <w:r w:rsidRPr="007936D3">
              <w:rPr>
                <w:rFonts w:ascii="Palatino Linotype" w:hAnsi="Palatino Linotype" w:cs="Arial"/>
                <w:sz w:val="20"/>
                <w:vertAlign w:val="superscript"/>
              </w:rPr>
              <w:t>-2</w:t>
            </w:r>
            <w:r w:rsidRPr="007936D3">
              <w:rPr>
                <w:rFonts w:ascii="Palatino Linotype" w:hAnsi="Palatino Linotype" w:cs="Arial"/>
                <w:sz w:val="20"/>
              </w:rPr>
              <w:t>—10</w:t>
            </w:r>
            <w:r w:rsidRPr="007936D3">
              <w:rPr>
                <w:rFonts w:ascii="Palatino Linotype" w:hAnsi="Palatino Linotype" w:cs="Arial"/>
                <w:sz w:val="20"/>
                <w:vertAlign w:val="superscript"/>
              </w:rPr>
              <w:t>+2</w:t>
            </w:r>
          </w:p>
        </w:tc>
      </w:tr>
      <w:tr w:rsidR="00A041D3" w:rsidRPr="007936D3" w14:paraId="0F0AA83C" w14:textId="77777777" w:rsidTr="007936D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gridSpan w:val="2"/>
            <w:shd w:val="clear" w:color="auto" w:fill="auto"/>
            <w:vAlign w:val="center"/>
          </w:tcPr>
          <w:p w14:paraId="74342209" w14:textId="73BA376A" w:rsidR="00A041D3" w:rsidRPr="007936D3" w:rsidRDefault="00A041D3" w:rsidP="007936D3">
            <w:pPr>
              <w:autoSpaceDE w:val="0"/>
              <w:autoSpaceDN w:val="0"/>
              <w:adjustRightInd w:val="0"/>
              <w:snapToGrid w:val="0"/>
              <w:jc w:val="center"/>
              <w:rPr>
                <w:rFonts w:ascii="Palatino Linotype" w:hAnsi="Palatino Linotype" w:cs="Arial"/>
                <w:b w:val="0"/>
                <w:i/>
                <w:sz w:val="20"/>
              </w:rPr>
            </w:pPr>
            <w:r w:rsidRPr="007936D3">
              <w:rPr>
                <w:rFonts w:ascii="Palatino Linotype" w:hAnsi="Palatino Linotype" w:cs="Arial"/>
                <w:b w:val="0"/>
                <w:sz w:val="20"/>
              </w:rPr>
              <w:t>Four Receptor Model</w:t>
            </w:r>
          </w:p>
        </w:tc>
      </w:tr>
      <w:tr w:rsidR="00A041D3" w:rsidRPr="007936D3" w14:paraId="673CF162" w14:textId="77777777" w:rsidTr="007936D3">
        <w:trPr>
          <w:jc w:val="center"/>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14:paraId="63B18142" w14:textId="49ECDDDD" w:rsidR="00A041D3" w:rsidRPr="007936D3" w:rsidRDefault="00A041D3" w:rsidP="007936D3">
            <w:pPr>
              <w:autoSpaceDE w:val="0"/>
              <w:autoSpaceDN w:val="0"/>
              <w:adjustRightInd w:val="0"/>
              <w:snapToGrid w:val="0"/>
              <w:jc w:val="center"/>
              <w:rPr>
                <w:rFonts w:ascii="Palatino Linotype" w:hAnsi="Palatino Linotype" w:cs="Arial"/>
                <w:b w:val="0"/>
                <w:i/>
                <w:sz w:val="20"/>
              </w:rPr>
            </w:pPr>
            <w:r w:rsidRPr="007936D3">
              <w:rPr>
                <w:rFonts w:ascii="Palatino Linotype" w:hAnsi="Palatino Linotype" w:cs="Arial"/>
                <w:b w:val="0"/>
                <w:sz w:val="20"/>
              </w:rPr>
              <w:t>Parameter</w:t>
            </w:r>
          </w:p>
        </w:tc>
        <w:tc>
          <w:tcPr>
            <w:tcW w:w="0" w:type="auto"/>
            <w:shd w:val="clear" w:color="auto" w:fill="auto"/>
            <w:vAlign w:val="center"/>
          </w:tcPr>
          <w:p w14:paraId="2BB8AFCC" w14:textId="3B840C62" w:rsidR="00A041D3" w:rsidRPr="007936D3" w:rsidRDefault="005F4C32" w:rsidP="007936D3">
            <w:pPr>
              <w:autoSpaceDE w:val="0"/>
              <w:autoSpaceDN w:val="0"/>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20"/>
              </w:rPr>
            </w:pPr>
            <w:r w:rsidRPr="007936D3">
              <w:rPr>
                <w:rFonts w:ascii="Palatino Linotype" w:hAnsi="Palatino Linotype" w:cs="Arial"/>
                <w:sz w:val="20"/>
              </w:rPr>
              <w:t>Ratios</w:t>
            </w:r>
          </w:p>
        </w:tc>
      </w:tr>
      <w:tr w:rsidR="007936D3" w:rsidRPr="007936D3" w14:paraId="18EBBBD2" w14:textId="77777777" w:rsidTr="007936D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14:paraId="082658C5" w14:textId="5DB39944" w:rsidR="00A041D3" w:rsidRPr="007936D3" w:rsidRDefault="00246369" w:rsidP="007936D3">
            <w:pPr>
              <w:autoSpaceDE w:val="0"/>
              <w:autoSpaceDN w:val="0"/>
              <w:adjustRightInd w:val="0"/>
              <w:snapToGrid w:val="0"/>
              <w:jc w:val="center"/>
              <w:rPr>
                <w:rFonts w:ascii="Palatino Linotype" w:hAnsi="Palatino Linotype" w:cs="Arial"/>
                <w:b w:val="0"/>
                <w:i/>
                <w:sz w:val="20"/>
                <w:vertAlign w:val="subscript"/>
              </w:rPr>
            </w:pPr>
            <w:proofErr w:type="gramStart"/>
            <w:r w:rsidRPr="007936D3">
              <w:rPr>
                <w:rFonts w:ascii="Palatino Linotype" w:hAnsi="Palatino Linotype" w:cs="Arial"/>
                <w:b w:val="0"/>
                <w:sz w:val="20"/>
              </w:rPr>
              <w:t>R</w:t>
            </w:r>
            <w:r w:rsidRPr="007936D3">
              <w:rPr>
                <w:rFonts w:ascii="Palatino Linotype" w:hAnsi="Palatino Linotype" w:cs="Arial"/>
                <w:b w:val="0"/>
                <w:sz w:val="20"/>
                <w:vertAlign w:val="subscript"/>
              </w:rPr>
              <w:t>1</w:t>
            </w:r>
            <w:r w:rsidRPr="007936D3">
              <w:rPr>
                <w:rFonts w:ascii="Palatino Linotype" w:hAnsi="Palatino Linotype" w:cs="Arial"/>
                <w:b w:val="0"/>
                <w:sz w:val="20"/>
              </w:rPr>
              <w:t>:R</w:t>
            </w:r>
            <w:r w:rsidRPr="007936D3">
              <w:rPr>
                <w:rFonts w:ascii="Palatino Linotype" w:hAnsi="Palatino Linotype" w:cs="Arial"/>
                <w:b w:val="0"/>
                <w:sz w:val="20"/>
                <w:vertAlign w:val="subscript"/>
              </w:rPr>
              <w:t>2</w:t>
            </w:r>
            <w:r w:rsidRPr="007936D3">
              <w:rPr>
                <w:rFonts w:ascii="Palatino Linotype" w:hAnsi="Palatino Linotype" w:cs="Arial"/>
                <w:b w:val="0"/>
                <w:sz w:val="20"/>
              </w:rPr>
              <w:t>:R</w:t>
            </w:r>
            <w:r w:rsidRPr="007936D3">
              <w:rPr>
                <w:rFonts w:ascii="Palatino Linotype" w:hAnsi="Palatino Linotype" w:cs="Arial"/>
                <w:b w:val="0"/>
                <w:sz w:val="20"/>
                <w:vertAlign w:val="subscript"/>
              </w:rPr>
              <w:t>3</w:t>
            </w:r>
            <w:r w:rsidRPr="007936D3">
              <w:rPr>
                <w:rFonts w:ascii="Palatino Linotype" w:hAnsi="Palatino Linotype" w:cs="Arial"/>
                <w:b w:val="0"/>
                <w:sz w:val="20"/>
              </w:rPr>
              <w:t>:R</w:t>
            </w:r>
            <w:r w:rsidRPr="007936D3">
              <w:rPr>
                <w:rFonts w:ascii="Palatino Linotype" w:hAnsi="Palatino Linotype" w:cs="Arial"/>
                <w:b w:val="0"/>
                <w:sz w:val="20"/>
                <w:vertAlign w:val="subscript"/>
              </w:rPr>
              <w:t>4</w:t>
            </w:r>
            <w:proofErr w:type="gramEnd"/>
          </w:p>
        </w:tc>
        <w:tc>
          <w:tcPr>
            <w:tcW w:w="0" w:type="auto"/>
            <w:shd w:val="clear" w:color="auto" w:fill="auto"/>
            <w:vAlign w:val="center"/>
          </w:tcPr>
          <w:p w14:paraId="422823A1" w14:textId="7BFEC6F0" w:rsidR="00A041D3" w:rsidRPr="007936D3" w:rsidRDefault="00246369" w:rsidP="007936D3">
            <w:pPr>
              <w:autoSpaceDE w:val="0"/>
              <w:autoSpaceDN w:val="0"/>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20"/>
              </w:rPr>
            </w:pPr>
            <w:r w:rsidRPr="007936D3">
              <w:rPr>
                <w:rFonts w:ascii="Palatino Linotype" w:hAnsi="Palatino Linotype" w:cs="Arial"/>
                <w:sz w:val="20"/>
              </w:rPr>
              <w:t>1:1:1:1, 1:2:1:1, 1:2:2:2, 1:10:1:1, 1:10:2:1, 1:10:2:2, 2:1:1:1, 2:2:1:1, 2:10:1:1, 2:10:2:2</w:t>
            </w:r>
          </w:p>
        </w:tc>
      </w:tr>
      <w:tr w:rsidR="00246369" w:rsidRPr="007936D3" w14:paraId="07EE01C7" w14:textId="77777777" w:rsidTr="007936D3">
        <w:trPr>
          <w:jc w:val="center"/>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14:paraId="32E059A6" w14:textId="3242928E" w:rsidR="00246369" w:rsidRPr="007936D3" w:rsidRDefault="00246369" w:rsidP="007936D3">
            <w:pPr>
              <w:autoSpaceDE w:val="0"/>
              <w:autoSpaceDN w:val="0"/>
              <w:adjustRightInd w:val="0"/>
              <w:snapToGrid w:val="0"/>
              <w:jc w:val="center"/>
              <w:rPr>
                <w:rFonts w:ascii="Palatino Linotype" w:hAnsi="Palatino Linotype" w:cs="Arial"/>
                <w:b w:val="0"/>
                <w:i/>
                <w:sz w:val="20"/>
              </w:rPr>
            </w:pPr>
            <w:r w:rsidRPr="007936D3">
              <w:rPr>
                <w:rFonts w:ascii="Palatino Linotype" w:hAnsi="Palatino Linotype" w:cs="Arial"/>
                <w:b w:val="0"/>
                <w:sz w:val="20"/>
              </w:rPr>
              <w:t>k</w:t>
            </w:r>
            <w:r w:rsidRPr="007936D3">
              <w:rPr>
                <w:rFonts w:ascii="Palatino Linotype" w:hAnsi="Palatino Linotype" w:cs="Arial"/>
                <w:b w:val="0"/>
                <w:sz w:val="20"/>
                <w:vertAlign w:val="subscript"/>
              </w:rPr>
              <w:t>L1</w:t>
            </w:r>
            <w:r w:rsidR="000E1E77" w:rsidRPr="007936D3">
              <w:rPr>
                <w:rFonts w:ascii="Palatino Linotype" w:hAnsi="Palatino Linotype" w:cs="Arial"/>
                <w:b w:val="0"/>
                <w:sz w:val="20"/>
              </w:rPr>
              <w:t>/k</w:t>
            </w:r>
            <w:r w:rsidR="000E1E77" w:rsidRPr="007936D3">
              <w:rPr>
                <w:rFonts w:ascii="Palatino Linotype" w:hAnsi="Palatino Linotype" w:cs="Arial"/>
                <w:b w:val="0"/>
                <w:sz w:val="20"/>
                <w:vertAlign w:val="subscript"/>
              </w:rPr>
              <w:t>L2</w:t>
            </w:r>
          </w:p>
        </w:tc>
        <w:tc>
          <w:tcPr>
            <w:tcW w:w="0" w:type="auto"/>
            <w:shd w:val="clear" w:color="auto" w:fill="auto"/>
            <w:vAlign w:val="center"/>
          </w:tcPr>
          <w:p w14:paraId="63DBF25F" w14:textId="64E7177B" w:rsidR="00246369" w:rsidRPr="007936D3" w:rsidRDefault="00074A7E" w:rsidP="007936D3">
            <w:pPr>
              <w:autoSpaceDE w:val="0"/>
              <w:autoSpaceDN w:val="0"/>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20"/>
              </w:rPr>
            </w:pPr>
            <w:r w:rsidRPr="007936D3">
              <w:rPr>
                <w:rFonts w:ascii="Palatino Linotype" w:hAnsi="Palatino Linotype" w:cs="Arial"/>
                <w:sz w:val="20"/>
              </w:rPr>
              <w:t>10</w:t>
            </w:r>
            <w:r w:rsidRPr="007936D3">
              <w:rPr>
                <w:rFonts w:ascii="Palatino Linotype" w:hAnsi="Palatino Linotype" w:cs="Arial"/>
                <w:sz w:val="20"/>
                <w:vertAlign w:val="superscript"/>
              </w:rPr>
              <w:t>-3</w:t>
            </w:r>
            <w:r w:rsidRPr="007936D3">
              <w:rPr>
                <w:rFonts w:ascii="Palatino Linotype" w:hAnsi="Palatino Linotype" w:cs="Arial"/>
                <w:sz w:val="20"/>
              </w:rPr>
              <w:t>—10</w:t>
            </w:r>
            <w:r w:rsidRPr="007936D3">
              <w:rPr>
                <w:rFonts w:ascii="Palatino Linotype" w:hAnsi="Palatino Linotype" w:cs="Arial"/>
                <w:sz w:val="20"/>
                <w:vertAlign w:val="superscript"/>
              </w:rPr>
              <w:t>+3</w:t>
            </w:r>
          </w:p>
        </w:tc>
      </w:tr>
    </w:tbl>
    <w:p w14:paraId="7765822E" w14:textId="4381624A" w:rsidR="00622F62" w:rsidRPr="007936D3" w:rsidRDefault="00184CCD" w:rsidP="0032320A">
      <w:pPr>
        <w:rPr>
          <w:rFonts w:ascii="Palatino Linotype" w:hAnsi="Palatino Linotype" w:cs="Arial"/>
          <w:b/>
        </w:rPr>
      </w:pPr>
      <w:r w:rsidRPr="007936D3">
        <w:rPr>
          <w:rFonts w:ascii="Palatino Linotype" w:hAnsi="Palatino Linotype" w:cs="Arial"/>
          <w:b/>
        </w:rPr>
        <w:t>R</w:t>
      </w:r>
      <w:r w:rsidR="00622F62" w:rsidRPr="007936D3">
        <w:rPr>
          <w:rFonts w:ascii="Palatino Linotype" w:hAnsi="Palatino Linotype" w:cs="Arial"/>
          <w:b/>
        </w:rPr>
        <w:t>eferences</w:t>
      </w:r>
    </w:p>
    <w:p w14:paraId="3329E2AB" w14:textId="6020E11A" w:rsidR="00294EA1" w:rsidRPr="007936D3" w:rsidRDefault="000B46D4" w:rsidP="00294EA1">
      <w:pPr>
        <w:widowControl w:val="0"/>
        <w:autoSpaceDE w:val="0"/>
        <w:autoSpaceDN w:val="0"/>
        <w:adjustRightInd w:val="0"/>
        <w:spacing w:after="60" w:line="240" w:lineRule="auto"/>
        <w:ind w:left="640" w:hanging="640"/>
        <w:rPr>
          <w:rFonts w:ascii="Palatino Linotype" w:hAnsi="Palatino Linotype" w:cs="Arial"/>
          <w:noProof/>
          <w:szCs w:val="24"/>
        </w:rPr>
      </w:pPr>
      <w:r w:rsidRPr="007936D3">
        <w:rPr>
          <w:rFonts w:ascii="Palatino Linotype" w:eastAsiaTheme="minorEastAsia" w:hAnsi="Palatino Linotype" w:cs="Arial"/>
        </w:rPr>
        <w:fldChar w:fldCharType="begin" w:fldLock="1"/>
      </w:r>
      <w:r w:rsidRPr="007936D3">
        <w:rPr>
          <w:rFonts w:ascii="Palatino Linotype" w:hAnsi="Palatino Linotype" w:cs="Arial"/>
        </w:rPr>
        <w:instrText xml:space="preserve">ADDIN Mendeley Bibliography CSL_BIBLIOGRAPHY </w:instrText>
      </w:r>
      <w:r w:rsidRPr="007936D3">
        <w:rPr>
          <w:rFonts w:ascii="Palatino Linotype" w:eastAsiaTheme="minorEastAsia" w:hAnsi="Palatino Linotype" w:cs="Arial"/>
        </w:rPr>
        <w:fldChar w:fldCharType="separate"/>
      </w:r>
      <w:r w:rsidR="00294EA1" w:rsidRPr="007936D3">
        <w:rPr>
          <w:rFonts w:ascii="Palatino Linotype" w:hAnsi="Palatino Linotype" w:cs="Arial"/>
          <w:noProof/>
          <w:szCs w:val="24"/>
        </w:rPr>
        <w:t xml:space="preserve">1. </w:t>
      </w:r>
      <w:r w:rsidR="00294EA1" w:rsidRPr="007936D3">
        <w:rPr>
          <w:rFonts w:ascii="Palatino Linotype" w:hAnsi="Palatino Linotype" w:cs="Arial"/>
          <w:noProof/>
          <w:szCs w:val="24"/>
        </w:rPr>
        <w:tab/>
        <w:t>Silva HS, Kapela A, Tsoukias NM. A mathematical model of plasma membrane electrophysiology and calcium dynamics in vascular endothelial cells. Am J Physiol Physiol. 2007;293: C277–C293. doi:10.1152/ajpcell.00542.2006</w:t>
      </w:r>
    </w:p>
    <w:p w14:paraId="68E97B02" w14:textId="77777777" w:rsidR="00294EA1" w:rsidRPr="007936D3" w:rsidRDefault="00294EA1" w:rsidP="00294EA1">
      <w:pPr>
        <w:widowControl w:val="0"/>
        <w:autoSpaceDE w:val="0"/>
        <w:autoSpaceDN w:val="0"/>
        <w:adjustRightInd w:val="0"/>
        <w:spacing w:after="60" w:line="240" w:lineRule="auto"/>
        <w:ind w:left="640" w:hanging="640"/>
        <w:rPr>
          <w:rFonts w:ascii="Palatino Linotype" w:hAnsi="Palatino Linotype" w:cs="Arial"/>
          <w:noProof/>
        </w:rPr>
      </w:pPr>
      <w:r w:rsidRPr="007936D3">
        <w:rPr>
          <w:rFonts w:ascii="Palatino Linotype" w:hAnsi="Palatino Linotype" w:cs="Arial"/>
          <w:noProof/>
          <w:szCs w:val="24"/>
        </w:rPr>
        <w:t xml:space="preserve">2. </w:t>
      </w:r>
      <w:r w:rsidRPr="007936D3">
        <w:rPr>
          <w:rFonts w:ascii="Palatino Linotype" w:hAnsi="Palatino Linotype" w:cs="Arial"/>
          <w:noProof/>
          <w:szCs w:val="24"/>
        </w:rPr>
        <w:tab/>
        <w:t>Bouhaddou M, Birtwistle MR. Dimerization-based control of cooperativity. Mol Biosyst. 2014;10: 1824–32. doi:10.1039/c4mb00022f</w:t>
      </w:r>
    </w:p>
    <w:p w14:paraId="0FEC6B6B" w14:textId="52275BEA" w:rsidR="00622F62" w:rsidRPr="00E9504F" w:rsidRDefault="000B46D4" w:rsidP="00701C50">
      <w:pPr>
        <w:spacing w:after="60" w:line="240" w:lineRule="auto"/>
        <w:rPr>
          <w:rFonts w:cs="Arial"/>
        </w:rPr>
      </w:pPr>
      <w:r w:rsidRPr="007936D3">
        <w:rPr>
          <w:rFonts w:ascii="Palatino Linotype" w:hAnsi="Palatino Linotype" w:cs="Arial"/>
        </w:rPr>
        <w:fldChar w:fldCharType="end"/>
      </w:r>
      <w:bookmarkStart w:id="0" w:name="_GoBack"/>
      <w:bookmarkEnd w:id="0"/>
    </w:p>
    <w:sectPr w:rsidR="00622F62" w:rsidRPr="00E9504F" w:rsidSect="00D560E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0E8F53" w14:textId="77777777" w:rsidR="007B4920" w:rsidRDefault="007B4920" w:rsidP="00F54158">
      <w:pPr>
        <w:spacing w:after="0" w:line="240" w:lineRule="auto"/>
      </w:pPr>
      <w:r>
        <w:separator/>
      </w:r>
    </w:p>
  </w:endnote>
  <w:endnote w:type="continuationSeparator" w:id="0">
    <w:p w14:paraId="71F58A99" w14:textId="77777777" w:rsidR="007B4920" w:rsidRDefault="007B4920" w:rsidP="00F541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Palatino Linotype">
    <w:panose1 w:val="02040502050505030304"/>
    <w:charset w:val="00"/>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8CE5D2" w14:textId="77777777" w:rsidR="007B4920" w:rsidRDefault="007B4920" w:rsidP="00F54158">
      <w:pPr>
        <w:spacing w:after="0" w:line="240" w:lineRule="auto"/>
      </w:pPr>
      <w:r>
        <w:separator/>
      </w:r>
    </w:p>
  </w:footnote>
  <w:footnote w:type="continuationSeparator" w:id="0">
    <w:p w14:paraId="7AEBC776" w14:textId="77777777" w:rsidR="007B4920" w:rsidRDefault="007B4920" w:rsidP="00F5415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51FA"/>
    <w:rsid w:val="00021784"/>
    <w:rsid w:val="000312DE"/>
    <w:rsid w:val="00074A7E"/>
    <w:rsid w:val="000766EC"/>
    <w:rsid w:val="000A5F48"/>
    <w:rsid w:val="000A6980"/>
    <w:rsid w:val="000B46D4"/>
    <w:rsid w:val="000C2550"/>
    <w:rsid w:val="000C7E71"/>
    <w:rsid w:val="000E1E77"/>
    <w:rsid w:val="00114447"/>
    <w:rsid w:val="00127313"/>
    <w:rsid w:val="00164144"/>
    <w:rsid w:val="001777BC"/>
    <w:rsid w:val="00184CCD"/>
    <w:rsid w:val="001F2D44"/>
    <w:rsid w:val="00206080"/>
    <w:rsid w:val="00207167"/>
    <w:rsid w:val="00222AAC"/>
    <w:rsid w:val="00223175"/>
    <w:rsid w:val="00231E4A"/>
    <w:rsid w:val="00246369"/>
    <w:rsid w:val="00252254"/>
    <w:rsid w:val="002546D9"/>
    <w:rsid w:val="00282FD4"/>
    <w:rsid w:val="002860D2"/>
    <w:rsid w:val="002937A6"/>
    <w:rsid w:val="00294EA1"/>
    <w:rsid w:val="00297D79"/>
    <w:rsid w:val="002F7115"/>
    <w:rsid w:val="003029B5"/>
    <w:rsid w:val="003058AA"/>
    <w:rsid w:val="003228EA"/>
    <w:rsid w:val="0032320A"/>
    <w:rsid w:val="00370646"/>
    <w:rsid w:val="003B070B"/>
    <w:rsid w:val="003C3D71"/>
    <w:rsid w:val="003C5136"/>
    <w:rsid w:val="003E0A96"/>
    <w:rsid w:val="003F6342"/>
    <w:rsid w:val="00452E1B"/>
    <w:rsid w:val="00470DB0"/>
    <w:rsid w:val="004A4556"/>
    <w:rsid w:val="004C33BA"/>
    <w:rsid w:val="00584788"/>
    <w:rsid w:val="005C380E"/>
    <w:rsid w:val="005E70C4"/>
    <w:rsid w:val="005F02B4"/>
    <w:rsid w:val="005F4C32"/>
    <w:rsid w:val="006020AF"/>
    <w:rsid w:val="00604C54"/>
    <w:rsid w:val="00607718"/>
    <w:rsid w:val="0061349F"/>
    <w:rsid w:val="00622F62"/>
    <w:rsid w:val="00644905"/>
    <w:rsid w:val="00672B10"/>
    <w:rsid w:val="006C6F0E"/>
    <w:rsid w:val="006D3825"/>
    <w:rsid w:val="006D3D93"/>
    <w:rsid w:val="006E619F"/>
    <w:rsid w:val="006E79AC"/>
    <w:rsid w:val="00701C50"/>
    <w:rsid w:val="007172E0"/>
    <w:rsid w:val="00720533"/>
    <w:rsid w:val="007648A7"/>
    <w:rsid w:val="00771C59"/>
    <w:rsid w:val="00781703"/>
    <w:rsid w:val="007830E2"/>
    <w:rsid w:val="007936D3"/>
    <w:rsid w:val="007A2B0A"/>
    <w:rsid w:val="007B4920"/>
    <w:rsid w:val="007C008E"/>
    <w:rsid w:val="007D1CFE"/>
    <w:rsid w:val="007D6B81"/>
    <w:rsid w:val="007E089C"/>
    <w:rsid w:val="007E6796"/>
    <w:rsid w:val="007F371A"/>
    <w:rsid w:val="008545D3"/>
    <w:rsid w:val="00864B0A"/>
    <w:rsid w:val="008E5890"/>
    <w:rsid w:val="00907ED4"/>
    <w:rsid w:val="00923595"/>
    <w:rsid w:val="00923892"/>
    <w:rsid w:val="0096004C"/>
    <w:rsid w:val="009A69A5"/>
    <w:rsid w:val="009C03F7"/>
    <w:rsid w:val="009F4095"/>
    <w:rsid w:val="00A041D3"/>
    <w:rsid w:val="00A4135F"/>
    <w:rsid w:val="00A42ED5"/>
    <w:rsid w:val="00A4550C"/>
    <w:rsid w:val="00A532CD"/>
    <w:rsid w:val="00A62F39"/>
    <w:rsid w:val="00A7216A"/>
    <w:rsid w:val="00A9475D"/>
    <w:rsid w:val="00AA4FD4"/>
    <w:rsid w:val="00AB0BE0"/>
    <w:rsid w:val="00AB57A1"/>
    <w:rsid w:val="00AD22D5"/>
    <w:rsid w:val="00AD3DCE"/>
    <w:rsid w:val="00B04D2D"/>
    <w:rsid w:val="00B2313C"/>
    <w:rsid w:val="00B56CC8"/>
    <w:rsid w:val="00B97131"/>
    <w:rsid w:val="00BA6196"/>
    <w:rsid w:val="00BC2442"/>
    <w:rsid w:val="00BD56E2"/>
    <w:rsid w:val="00BE466D"/>
    <w:rsid w:val="00C45A3C"/>
    <w:rsid w:val="00C929CA"/>
    <w:rsid w:val="00CE2778"/>
    <w:rsid w:val="00D0084A"/>
    <w:rsid w:val="00D560E5"/>
    <w:rsid w:val="00D93F58"/>
    <w:rsid w:val="00DB5D49"/>
    <w:rsid w:val="00DD6F3B"/>
    <w:rsid w:val="00DE0569"/>
    <w:rsid w:val="00DE4017"/>
    <w:rsid w:val="00E050E6"/>
    <w:rsid w:val="00E05191"/>
    <w:rsid w:val="00E16BDE"/>
    <w:rsid w:val="00E330A4"/>
    <w:rsid w:val="00E851FA"/>
    <w:rsid w:val="00E9504F"/>
    <w:rsid w:val="00EB2391"/>
    <w:rsid w:val="00EE4C55"/>
    <w:rsid w:val="00EF421E"/>
    <w:rsid w:val="00F227E0"/>
    <w:rsid w:val="00F26129"/>
    <w:rsid w:val="00F54158"/>
    <w:rsid w:val="00F63E66"/>
    <w:rsid w:val="00FA03B1"/>
    <w:rsid w:val="00FA4733"/>
    <w:rsid w:val="00FC2364"/>
    <w:rsid w:val="00FC3449"/>
    <w:rsid w:val="00FF1E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C2936FD"/>
  <w15:docId w15:val="{50C956CD-B03F-41DF-B2C5-51B45B187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54158"/>
    <w:rPr>
      <w:rFonts w:ascii="Arial" w:hAnsi="Arial"/>
    </w:rPr>
  </w:style>
  <w:style w:type="paragraph" w:styleId="Heading1">
    <w:name w:val="heading 1"/>
    <w:basedOn w:val="Normal"/>
    <w:next w:val="Normal"/>
    <w:link w:val="Heading1Char"/>
    <w:uiPriority w:val="9"/>
    <w:qFormat/>
    <w:rsid w:val="00B97131"/>
    <w:pPr>
      <w:outlineLvl w:val="0"/>
    </w:pPr>
    <w:rPr>
      <w:rFonts w:cs="Arial"/>
      <w:b/>
      <w:sz w:val="24"/>
      <w:u w:val="single"/>
    </w:rPr>
  </w:style>
  <w:style w:type="paragraph" w:styleId="Heading2">
    <w:name w:val="heading 2"/>
    <w:basedOn w:val="Normal"/>
    <w:next w:val="Normal"/>
    <w:link w:val="Heading2Char"/>
    <w:uiPriority w:val="9"/>
    <w:unhideWhenUsed/>
    <w:qFormat/>
    <w:rsid w:val="00D93F58"/>
    <w:pPr>
      <w:outlineLvl w:val="1"/>
    </w:pPr>
    <w:rPr>
      <w:rFonts w:cs="Arial"/>
      <w:b/>
      <w:sz w:val="20"/>
    </w:rPr>
  </w:style>
  <w:style w:type="paragraph" w:styleId="Heading3">
    <w:name w:val="heading 3"/>
    <w:basedOn w:val="Normal"/>
    <w:next w:val="Normal"/>
    <w:link w:val="Heading3Char"/>
    <w:uiPriority w:val="9"/>
    <w:unhideWhenUsed/>
    <w:qFormat/>
    <w:rsid w:val="00D93F5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851FA"/>
    <w:pPr>
      <w:spacing w:after="0" w:line="240" w:lineRule="auto"/>
    </w:pPr>
  </w:style>
  <w:style w:type="table" w:styleId="TableGrid">
    <w:name w:val="Table Grid"/>
    <w:basedOn w:val="TableNormal"/>
    <w:uiPriority w:val="39"/>
    <w:rsid w:val="00E851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923595"/>
    <w:rPr>
      <w:color w:val="808080"/>
    </w:rPr>
  </w:style>
  <w:style w:type="character" w:styleId="CommentReference">
    <w:name w:val="annotation reference"/>
    <w:basedOn w:val="DefaultParagraphFont"/>
    <w:uiPriority w:val="99"/>
    <w:semiHidden/>
    <w:unhideWhenUsed/>
    <w:rsid w:val="0032320A"/>
    <w:rPr>
      <w:sz w:val="16"/>
      <w:szCs w:val="16"/>
    </w:rPr>
  </w:style>
  <w:style w:type="paragraph" w:styleId="CommentText">
    <w:name w:val="annotation text"/>
    <w:basedOn w:val="Normal"/>
    <w:link w:val="CommentTextChar"/>
    <w:uiPriority w:val="99"/>
    <w:semiHidden/>
    <w:unhideWhenUsed/>
    <w:rsid w:val="0032320A"/>
    <w:pPr>
      <w:spacing w:line="240" w:lineRule="auto"/>
    </w:pPr>
    <w:rPr>
      <w:sz w:val="20"/>
      <w:szCs w:val="20"/>
    </w:rPr>
  </w:style>
  <w:style w:type="character" w:customStyle="1" w:styleId="CommentTextChar">
    <w:name w:val="Comment Text Char"/>
    <w:basedOn w:val="DefaultParagraphFont"/>
    <w:link w:val="CommentText"/>
    <w:uiPriority w:val="99"/>
    <w:semiHidden/>
    <w:rsid w:val="0032320A"/>
    <w:rPr>
      <w:sz w:val="20"/>
      <w:szCs w:val="20"/>
    </w:rPr>
  </w:style>
  <w:style w:type="paragraph" w:styleId="CommentSubject">
    <w:name w:val="annotation subject"/>
    <w:basedOn w:val="CommentText"/>
    <w:next w:val="CommentText"/>
    <w:link w:val="CommentSubjectChar"/>
    <w:uiPriority w:val="99"/>
    <w:semiHidden/>
    <w:unhideWhenUsed/>
    <w:rsid w:val="0032320A"/>
    <w:rPr>
      <w:b/>
      <w:bCs/>
    </w:rPr>
  </w:style>
  <w:style w:type="character" w:customStyle="1" w:styleId="CommentSubjectChar">
    <w:name w:val="Comment Subject Char"/>
    <w:basedOn w:val="CommentTextChar"/>
    <w:link w:val="CommentSubject"/>
    <w:uiPriority w:val="99"/>
    <w:semiHidden/>
    <w:rsid w:val="0032320A"/>
    <w:rPr>
      <w:b/>
      <w:bCs/>
      <w:sz w:val="20"/>
      <w:szCs w:val="20"/>
    </w:rPr>
  </w:style>
  <w:style w:type="paragraph" w:styleId="BalloonText">
    <w:name w:val="Balloon Text"/>
    <w:basedOn w:val="Normal"/>
    <w:link w:val="BalloonTextChar"/>
    <w:uiPriority w:val="99"/>
    <w:semiHidden/>
    <w:unhideWhenUsed/>
    <w:rsid w:val="0032320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2320A"/>
    <w:rPr>
      <w:rFonts w:ascii="Segoe UI" w:hAnsi="Segoe UI" w:cs="Segoe UI"/>
      <w:sz w:val="18"/>
      <w:szCs w:val="18"/>
    </w:rPr>
  </w:style>
  <w:style w:type="table" w:customStyle="1" w:styleId="ListTable1Light-Accent31">
    <w:name w:val="List Table 1 Light - Accent 31"/>
    <w:basedOn w:val="TableNormal"/>
    <w:uiPriority w:val="46"/>
    <w:rsid w:val="007F371A"/>
    <w:pPr>
      <w:spacing w:after="0" w:line="240" w:lineRule="auto"/>
    </w:pPr>
    <w:rPr>
      <w:rFonts w:ascii="Times New Roman" w:hAnsi="Times New Roman"/>
      <w:color w:val="000000"/>
      <w:sz w:val="24"/>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NormalWeb">
    <w:name w:val="Normal (Web)"/>
    <w:basedOn w:val="Normal"/>
    <w:uiPriority w:val="99"/>
    <w:unhideWhenUsed/>
    <w:rsid w:val="000B46D4"/>
    <w:pPr>
      <w:spacing w:before="100" w:beforeAutospacing="1" w:after="100" w:afterAutospacing="1" w:line="240" w:lineRule="auto"/>
    </w:pPr>
    <w:rPr>
      <w:rFonts w:ascii="Times New Roman" w:eastAsiaTheme="minorEastAsia" w:hAnsi="Times New Roman" w:cs="Times New Roman"/>
      <w:sz w:val="24"/>
      <w:szCs w:val="24"/>
    </w:rPr>
  </w:style>
  <w:style w:type="table" w:customStyle="1" w:styleId="GridTable3-Accent31">
    <w:name w:val="Grid Table 3 - Accent 31"/>
    <w:basedOn w:val="TableNormal"/>
    <w:uiPriority w:val="48"/>
    <w:rsid w:val="00B04D2D"/>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character" w:customStyle="1" w:styleId="Heading1Char">
    <w:name w:val="Heading 1 Char"/>
    <w:basedOn w:val="DefaultParagraphFont"/>
    <w:link w:val="Heading1"/>
    <w:uiPriority w:val="9"/>
    <w:rsid w:val="00B97131"/>
    <w:rPr>
      <w:rFonts w:ascii="Arial" w:hAnsi="Arial" w:cs="Arial"/>
      <w:b/>
      <w:sz w:val="24"/>
      <w:u w:val="single"/>
    </w:rPr>
  </w:style>
  <w:style w:type="character" w:customStyle="1" w:styleId="Heading2Char">
    <w:name w:val="Heading 2 Char"/>
    <w:basedOn w:val="DefaultParagraphFont"/>
    <w:link w:val="Heading2"/>
    <w:uiPriority w:val="9"/>
    <w:rsid w:val="00D93F58"/>
    <w:rPr>
      <w:rFonts w:ascii="Arial" w:hAnsi="Arial" w:cs="Arial"/>
      <w:b/>
      <w:sz w:val="20"/>
    </w:rPr>
  </w:style>
  <w:style w:type="character" w:customStyle="1" w:styleId="Heading3Char">
    <w:name w:val="Heading 3 Char"/>
    <w:basedOn w:val="DefaultParagraphFont"/>
    <w:link w:val="Heading3"/>
    <w:uiPriority w:val="9"/>
    <w:rsid w:val="00D93F58"/>
    <w:rPr>
      <w:rFonts w:asciiTheme="majorHAnsi" w:eastAsiaTheme="majorEastAsia" w:hAnsiTheme="majorHAnsi" w:cstheme="majorBidi"/>
      <w:color w:val="1F4D78" w:themeColor="accent1" w:themeShade="7F"/>
      <w:sz w:val="24"/>
      <w:szCs w:val="24"/>
    </w:rPr>
  </w:style>
  <w:style w:type="table" w:styleId="GridTable6Colorful">
    <w:name w:val="Grid Table 6 Colorful"/>
    <w:basedOn w:val="TableNormal"/>
    <w:uiPriority w:val="51"/>
    <w:rsid w:val="00CE2778"/>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Header">
    <w:name w:val="header"/>
    <w:basedOn w:val="Normal"/>
    <w:link w:val="HeaderChar"/>
    <w:uiPriority w:val="99"/>
    <w:unhideWhenUsed/>
    <w:rsid w:val="00F541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54158"/>
    <w:rPr>
      <w:rFonts w:ascii="Arial" w:hAnsi="Arial"/>
    </w:rPr>
  </w:style>
  <w:style w:type="paragraph" w:styleId="Footer">
    <w:name w:val="footer"/>
    <w:basedOn w:val="Normal"/>
    <w:link w:val="FooterChar"/>
    <w:uiPriority w:val="99"/>
    <w:unhideWhenUsed/>
    <w:rsid w:val="00F541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54158"/>
    <w:rPr>
      <w:rFonts w:ascii="Arial" w:hAnsi="Arial"/>
    </w:rPr>
  </w:style>
  <w:style w:type="character" w:styleId="Hyperlink">
    <w:name w:val="Hyperlink"/>
    <w:basedOn w:val="DefaultParagraphFont"/>
    <w:uiPriority w:val="99"/>
    <w:semiHidden/>
    <w:unhideWhenUsed/>
    <w:rsid w:val="002937A6"/>
    <w:rPr>
      <w:color w:val="0000FF"/>
      <w:u w:val="single"/>
    </w:rPr>
  </w:style>
  <w:style w:type="paragraph" w:styleId="Revision">
    <w:name w:val="Revision"/>
    <w:hidden/>
    <w:uiPriority w:val="99"/>
    <w:semiHidden/>
    <w:rsid w:val="000C7E71"/>
    <w:pPr>
      <w:spacing w:after="0" w:line="240" w:lineRule="auto"/>
    </w:pPr>
    <w:rPr>
      <w:rFonts w:ascii="Arial" w:hAnsi="Arial"/>
    </w:rPr>
  </w:style>
  <w:style w:type="character" w:styleId="FollowedHyperlink">
    <w:name w:val="FollowedHyperlink"/>
    <w:basedOn w:val="DefaultParagraphFont"/>
    <w:uiPriority w:val="99"/>
    <w:semiHidden/>
    <w:unhideWhenUsed/>
    <w:rsid w:val="00720533"/>
    <w:rPr>
      <w:color w:val="954F72" w:themeColor="followedHyperlink"/>
      <w:u w:val="single"/>
    </w:rPr>
  </w:style>
  <w:style w:type="table" w:styleId="PlainTable2">
    <w:name w:val="Plain Table 2"/>
    <w:basedOn w:val="TableNormal"/>
    <w:uiPriority w:val="99"/>
    <w:rsid w:val="00DB5D4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ListTable2">
    <w:name w:val="List Table 2"/>
    <w:basedOn w:val="TableNormal"/>
    <w:uiPriority w:val="47"/>
    <w:rsid w:val="00DB5D49"/>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
    <w:name w:val="List Table 6 Colorful"/>
    <w:basedOn w:val="TableNormal"/>
    <w:uiPriority w:val="51"/>
    <w:rsid w:val="00AB57A1"/>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
    <w:name w:val="Grid Table 2"/>
    <w:basedOn w:val="TableNormal"/>
    <w:uiPriority w:val="99"/>
    <w:rsid w:val="00AB57A1"/>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1549270">
      <w:bodyDiv w:val="1"/>
      <w:marLeft w:val="0"/>
      <w:marRight w:val="0"/>
      <w:marTop w:val="0"/>
      <w:marBottom w:val="0"/>
      <w:divBdr>
        <w:top w:val="none" w:sz="0" w:space="0" w:color="auto"/>
        <w:left w:val="none" w:sz="0" w:space="0" w:color="auto"/>
        <w:bottom w:val="none" w:sz="0" w:space="0" w:color="auto"/>
        <w:right w:val="none" w:sz="0" w:space="0" w:color="auto"/>
      </w:divBdr>
    </w:div>
    <w:div w:id="753093637">
      <w:bodyDiv w:val="1"/>
      <w:marLeft w:val="0"/>
      <w:marRight w:val="0"/>
      <w:marTop w:val="0"/>
      <w:marBottom w:val="0"/>
      <w:divBdr>
        <w:top w:val="none" w:sz="0" w:space="0" w:color="auto"/>
        <w:left w:val="none" w:sz="0" w:space="0" w:color="auto"/>
        <w:bottom w:val="none" w:sz="0" w:space="0" w:color="auto"/>
        <w:right w:val="none" w:sz="0" w:space="0" w:color="auto"/>
      </w:divBdr>
    </w:div>
    <w:div w:id="797990993">
      <w:bodyDiv w:val="1"/>
      <w:marLeft w:val="0"/>
      <w:marRight w:val="0"/>
      <w:marTop w:val="0"/>
      <w:marBottom w:val="0"/>
      <w:divBdr>
        <w:top w:val="none" w:sz="0" w:space="0" w:color="auto"/>
        <w:left w:val="none" w:sz="0" w:space="0" w:color="auto"/>
        <w:bottom w:val="none" w:sz="0" w:space="0" w:color="auto"/>
        <w:right w:val="none" w:sz="0" w:space="0" w:color="auto"/>
      </w:divBdr>
    </w:div>
    <w:div w:id="1032224202">
      <w:bodyDiv w:val="1"/>
      <w:marLeft w:val="0"/>
      <w:marRight w:val="0"/>
      <w:marTop w:val="0"/>
      <w:marBottom w:val="0"/>
      <w:divBdr>
        <w:top w:val="none" w:sz="0" w:space="0" w:color="auto"/>
        <w:left w:val="none" w:sz="0" w:space="0" w:color="auto"/>
        <w:bottom w:val="none" w:sz="0" w:space="0" w:color="auto"/>
        <w:right w:val="none" w:sz="0" w:space="0" w:color="auto"/>
      </w:divBdr>
    </w:div>
    <w:div w:id="1328092705">
      <w:bodyDiv w:val="1"/>
      <w:marLeft w:val="0"/>
      <w:marRight w:val="0"/>
      <w:marTop w:val="0"/>
      <w:marBottom w:val="0"/>
      <w:divBdr>
        <w:top w:val="none" w:sz="0" w:space="0" w:color="auto"/>
        <w:left w:val="none" w:sz="0" w:space="0" w:color="auto"/>
        <w:bottom w:val="none" w:sz="0" w:space="0" w:color="auto"/>
        <w:right w:val="none" w:sz="0" w:space="0" w:color="auto"/>
      </w:divBdr>
    </w:div>
    <w:div w:id="1492481980">
      <w:bodyDiv w:val="1"/>
      <w:marLeft w:val="0"/>
      <w:marRight w:val="0"/>
      <w:marTop w:val="0"/>
      <w:marBottom w:val="0"/>
      <w:divBdr>
        <w:top w:val="none" w:sz="0" w:space="0" w:color="auto"/>
        <w:left w:val="none" w:sz="0" w:space="0" w:color="auto"/>
        <w:bottom w:val="none" w:sz="0" w:space="0" w:color="auto"/>
        <w:right w:val="none" w:sz="0" w:space="0" w:color="auto"/>
      </w:divBdr>
    </w:div>
    <w:div w:id="1682198091">
      <w:bodyDiv w:val="1"/>
      <w:marLeft w:val="0"/>
      <w:marRight w:val="0"/>
      <w:marTop w:val="0"/>
      <w:marBottom w:val="0"/>
      <w:divBdr>
        <w:top w:val="none" w:sz="0" w:space="0" w:color="auto"/>
        <w:left w:val="none" w:sz="0" w:space="0" w:color="auto"/>
        <w:bottom w:val="none" w:sz="0" w:space="0" w:color="auto"/>
        <w:right w:val="none" w:sz="0" w:space="0" w:color="auto"/>
      </w:divBdr>
    </w:div>
    <w:div w:id="2050106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877D9A-3CDE-4444-B367-08C512A772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2467</TotalTime>
  <Pages>1</Pages>
  <Words>1484</Words>
  <Characters>8462</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Parameter Tables</vt:lpstr>
    </vt:vector>
  </TitlesOfParts>
  <Company>University of Illinois</Company>
  <LinksUpToDate>false</LinksUpToDate>
  <CharactersWithSpaces>9927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Parameter Tables</dc:title>
  <dc:subject/>
  <dc:creator>Palasz, Alexandra Andrea;Mamer, Spencer B</dc:creator>
  <cp:keywords>figures</cp:keywords>
  <dc:description/>
  <cp:lastModifiedBy>MDPI</cp:lastModifiedBy>
  <cp:revision>53</cp:revision>
  <dcterms:created xsi:type="dcterms:W3CDTF">2017-11-07T19:23:00Z</dcterms:created>
  <dcterms:modified xsi:type="dcterms:W3CDTF">2019-05-15T03:22:00Z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Citation Style_1">
    <vt:lpwstr>http://www.zotero.org/styles/plos-computational-biology</vt:lpwstr>
  </property>
  <property fmtid="{D5CDD505-2E9C-101B-9397-08002B2CF9AE}" pid="4" name="Mendeley Recent Style Id 0_1">
    <vt:lpwstr>http://www.zotero.org/styles/apa</vt:lpwstr>
  </property>
  <property fmtid="{D5CDD505-2E9C-101B-9397-08002B2CF9AE}" pid="5" name="Mendeley Recent Style Name 0_1">
    <vt:lpwstr>American Psychological Association 6th edition</vt:lpwstr>
  </property>
  <property fmtid="{D5CDD505-2E9C-101B-9397-08002B2CF9AE}" pid="6" name="Mendeley Recent Style Id 1_1">
    <vt:lpwstr>http://www.zotero.org/styles/american-sociological-association</vt:lpwstr>
  </property>
  <property fmtid="{D5CDD505-2E9C-101B-9397-08002B2CF9AE}" pid="7" name="Mendeley Recent Style Name 1_1">
    <vt:lpwstr>American Sociological Association</vt:lpwstr>
  </property>
  <property fmtid="{D5CDD505-2E9C-101B-9397-08002B2CF9AE}" pid="8" name="Mendeley Recent Style Id 2_1">
    <vt:lpwstr>http://www.zotero.org/styles/angiogenesis</vt:lpwstr>
  </property>
  <property fmtid="{D5CDD505-2E9C-101B-9397-08002B2CF9AE}" pid="9" name="Mendeley Recent Style Name 2_1">
    <vt:lpwstr>Angiogenesis</vt:lpwstr>
  </property>
  <property fmtid="{D5CDD505-2E9C-101B-9397-08002B2CF9AE}" pid="10" name="Mendeley Recent Style Id 3_1">
    <vt:lpwstr>http://www.zotero.org/styles/chicago-author-date</vt:lpwstr>
  </property>
  <property fmtid="{D5CDD505-2E9C-101B-9397-08002B2CF9AE}" pid="11" name="Mendeley Recent Style Name 3_1">
    <vt:lpwstr>Chicago Manual of Style 17th edition (author-date)</vt:lpwstr>
  </property>
  <property fmtid="{D5CDD505-2E9C-101B-9397-08002B2CF9AE}" pid="12" name="Mendeley Recent Style Id 4_1">
    <vt:lpwstr>http://www.zotero.org/styles/harvard-cite-them-right</vt:lpwstr>
  </property>
  <property fmtid="{D5CDD505-2E9C-101B-9397-08002B2CF9AE}" pid="13" name="Mendeley Recent Style Name 4_1">
    <vt:lpwstr>Cite Them Right 10th edition - Harvard</vt:lpwstr>
  </property>
  <property fmtid="{D5CDD505-2E9C-101B-9397-08002B2CF9AE}" pid="14" name="Mendeley Recent Style Id 5_1">
    <vt:lpwstr>http://www.zotero.org/styles/ieee</vt:lpwstr>
  </property>
  <property fmtid="{D5CDD505-2E9C-101B-9397-08002B2CF9AE}" pid="15" name="Mendeley Recent Style Name 5_1">
    <vt:lpwstr>IEEE</vt:lpwstr>
  </property>
  <property fmtid="{D5CDD505-2E9C-101B-9397-08002B2CF9AE}" pid="16" name="Mendeley Recent Style Id 6_1">
    <vt:lpwstr>http://www.zotero.org/styles/modern-humanities-research-association</vt:lpwstr>
  </property>
  <property fmtid="{D5CDD505-2E9C-101B-9397-08002B2CF9AE}" pid="17" name="Mendeley Recent Style Name 6_1">
    <vt:lpwstr>Modern Humanities Research Association 3rd edition (note with bibliography)</vt:lpwstr>
  </property>
  <property fmtid="{D5CDD505-2E9C-101B-9397-08002B2CF9AE}" pid="18" name="Mendeley Recent Style Id 7_1">
    <vt:lpwstr>http://www.zotero.org/styles/modern-language-association</vt:lpwstr>
  </property>
  <property fmtid="{D5CDD505-2E9C-101B-9397-08002B2CF9AE}" pid="19" name="Mendeley Recent Style Name 7_1">
    <vt:lpwstr>Modern Language Association 7th edition</vt:lpwstr>
  </property>
  <property fmtid="{D5CDD505-2E9C-101B-9397-08002B2CF9AE}" pid="20" name="Mendeley Recent Style Id 8_1">
    <vt:lpwstr>http://www.zotero.org/styles/nature</vt:lpwstr>
  </property>
  <property fmtid="{D5CDD505-2E9C-101B-9397-08002B2CF9AE}" pid="21" name="Mendeley Recent Style Name 8_1">
    <vt:lpwstr>Nature</vt:lpwstr>
  </property>
  <property fmtid="{D5CDD505-2E9C-101B-9397-08002B2CF9AE}" pid="22" name="Mendeley Recent Style Id 9_1">
    <vt:lpwstr>http://www.zotero.org/styles/plos-computational-biology</vt:lpwstr>
  </property>
  <property fmtid="{D5CDD505-2E9C-101B-9397-08002B2CF9AE}" pid="23" name="Mendeley Recent Style Name 9_1">
    <vt:lpwstr>PLOS Computational Biology</vt:lpwstr>
  </property>
  <property fmtid="{D5CDD505-2E9C-101B-9397-08002B2CF9AE}" pid="24" name="Mendeley Unique User Id_1">
    <vt:lpwstr>9682e5fc-b900-3373-8054-af495e39a362</vt:lpwstr>
  </property>
</Properties>
</file>