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CA7D7" w14:textId="77777777" w:rsidR="004208E5" w:rsidRDefault="004208E5" w:rsidP="00A35343">
      <w:pPr>
        <w:pStyle w:val="MDPI31text"/>
        <w:spacing w:line="360" w:lineRule="auto"/>
        <w:ind w:left="0" w:firstLine="0"/>
        <w:jc w:val="center"/>
        <w:rPr>
          <w:b/>
          <w:bCs/>
          <w:sz w:val="36"/>
          <w:szCs w:val="36"/>
        </w:rPr>
      </w:pPr>
      <w:r>
        <w:rPr>
          <w:b/>
          <w:bCs/>
          <w:sz w:val="36"/>
          <w:szCs w:val="36"/>
        </w:rPr>
        <w:t xml:space="preserve">Synthesis, X-ray Structure, Hirshfeld Surface Analysis and Antimicrobial Assessment of Tetranuclear </w:t>
      </w:r>
      <w:r>
        <w:rPr>
          <w:b/>
          <w:bCs/>
          <w:i/>
          <w:iCs/>
          <w:sz w:val="36"/>
          <w:szCs w:val="36"/>
        </w:rPr>
        <w:t>s</w:t>
      </w:r>
      <w:r>
        <w:rPr>
          <w:b/>
          <w:bCs/>
          <w:sz w:val="36"/>
          <w:szCs w:val="36"/>
        </w:rPr>
        <w:t>-Triazine Hydrazine Schiff Base Ligand</w:t>
      </w:r>
    </w:p>
    <w:p w14:paraId="759E8816" w14:textId="4F6A1B73" w:rsidR="00FB30C8" w:rsidRPr="009665F4" w:rsidRDefault="00FB30C8" w:rsidP="00FB30C8">
      <w:pPr>
        <w:pStyle w:val="MDPI13authornames"/>
      </w:pPr>
      <w:r w:rsidRPr="009665F4">
        <w:t xml:space="preserve">Hessa H. Al-Rasheed </w:t>
      </w:r>
      <w:r w:rsidRPr="009665F4">
        <w:rPr>
          <w:vertAlign w:val="superscript"/>
        </w:rPr>
        <w:t>1,</w:t>
      </w:r>
      <w:r w:rsidRPr="009665F4">
        <w:t xml:space="preserve">*, </w:t>
      </w:r>
      <w:r w:rsidRPr="009665F4">
        <w:rPr>
          <w:rFonts w:cs="URWPalladioL-Bold"/>
        </w:rPr>
        <w:t>Sarah A. AL-</w:t>
      </w:r>
      <w:proofErr w:type="spellStart"/>
      <w:r w:rsidRPr="009665F4">
        <w:rPr>
          <w:rFonts w:cs="URWPalladioL-Bold"/>
        </w:rPr>
        <w:t>khamis</w:t>
      </w:r>
      <w:proofErr w:type="spellEnd"/>
      <w:r w:rsidRPr="009665F4">
        <w:rPr>
          <w:rFonts w:cs="URWPalladioL-Bold"/>
        </w:rPr>
        <w:t xml:space="preserve"> </w:t>
      </w:r>
      <w:r w:rsidRPr="009665F4">
        <w:rPr>
          <w:rFonts w:cs="URWPalladioL-Bold"/>
          <w:vertAlign w:val="superscript"/>
        </w:rPr>
        <w:t>1</w:t>
      </w:r>
      <w:r w:rsidRPr="009665F4">
        <w:rPr>
          <w:rFonts w:cs="URWPalladioL-Bold"/>
        </w:rPr>
        <w:t>,</w:t>
      </w:r>
      <w:r w:rsidRPr="009665F4">
        <w:rPr>
          <w:rFonts w:ascii="URWPalladioL-Bold" w:hAnsi="URWPalladioL-Bold" w:cs="URWPalladioL-Bold"/>
        </w:rPr>
        <w:t xml:space="preserve"> </w:t>
      </w:r>
      <w:r w:rsidRPr="009665F4">
        <w:t xml:space="preserve">Ayman El-Faham </w:t>
      </w:r>
      <w:r w:rsidRPr="009665F4">
        <w:rPr>
          <w:vertAlign w:val="superscript"/>
        </w:rPr>
        <w:t>2</w:t>
      </w:r>
      <w:r w:rsidRPr="009665F4">
        <w:t xml:space="preserve">, Assem Barakat </w:t>
      </w:r>
      <w:r w:rsidRPr="009665F4">
        <w:rPr>
          <w:vertAlign w:val="superscript"/>
        </w:rPr>
        <w:t>1</w:t>
      </w:r>
      <w:r w:rsidRPr="009665F4">
        <w:t xml:space="preserve">, </w:t>
      </w:r>
      <w:r w:rsidR="00A82519">
        <w:br/>
      </w:r>
      <w:r w:rsidRPr="009665F4">
        <w:rPr>
          <w:rFonts w:eastAsia="AdvGulliv-R"/>
        </w:rPr>
        <w:t xml:space="preserve">Alexandra M. Z. Slawin </w:t>
      </w:r>
      <w:r w:rsidRPr="009665F4">
        <w:rPr>
          <w:rFonts w:eastAsia="AdvGulliv-R"/>
          <w:vertAlign w:val="superscript"/>
        </w:rPr>
        <w:t>3</w:t>
      </w:r>
      <w:r w:rsidRPr="009665F4">
        <w:rPr>
          <w:rFonts w:eastAsia="AdvGulliv-R"/>
        </w:rPr>
        <w:t xml:space="preserve">, John Derek </w:t>
      </w:r>
      <w:proofErr w:type="spellStart"/>
      <w:r w:rsidRPr="009665F4">
        <w:rPr>
          <w:rFonts w:eastAsia="AdvGulliv-R"/>
        </w:rPr>
        <w:t>Woollins</w:t>
      </w:r>
      <w:proofErr w:type="spellEnd"/>
      <w:r w:rsidRPr="009665F4">
        <w:rPr>
          <w:rFonts w:eastAsia="AdvGulliv-R"/>
        </w:rPr>
        <w:t xml:space="preserve"> </w:t>
      </w:r>
      <w:r w:rsidRPr="009665F4">
        <w:rPr>
          <w:rFonts w:eastAsia="AdvGulliv-R"/>
          <w:vertAlign w:val="superscript"/>
        </w:rPr>
        <w:t>3,4</w:t>
      </w:r>
      <w:r w:rsidRPr="009665F4">
        <w:t xml:space="preserve"> and Saied M. Soliman </w:t>
      </w:r>
      <w:r w:rsidRPr="009665F4">
        <w:rPr>
          <w:vertAlign w:val="superscript"/>
        </w:rPr>
        <w:t>2,</w:t>
      </w:r>
      <w:r w:rsidRPr="009665F4">
        <w:t>*</w:t>
      </w:r>
    </w:p>
    <w:p w14:paraId="43CBCF53" w14:textId="77777777" w:rsidR="00FB30C8" w:rsidRPr="009665F4" w:rsidRDefault="00FB30C8" w:rsidP="00FB30C8">
      <w:pPr>
        <w:pStyle w:val="MDPI16affiliation"/>
      </w:pPr>
      <w:r w:rsidRPr="009665F4">
        <w:rPr>
          <w:vertAlign w:val="superscript"/>
        </w:rPr>
        <w:t>1</w:t>
      </w:r>
      <w:r w:rsidRPr="009665F4">
        <w:tab/>
        <w:t xml:space="preserve">Department of Chemistry, College of Science, King Saud University, P.O. Box 2455, </w:t>
      </w:r>
      <w:r w:rsidRPr="009665F4">
        <w:br/>
        <w:t>Riyadh 11451, Saudi Arabia; 441203438@student.ksu.edu.sa (S.A.A.-k.)</w:t>
      </w:r>
      <w:r w:rsidRPr="009665F4">
        <w:rPr>
          <w:rStyle w:val="Hyperlink"/>
          <w:color w:val="auto"/>
          <w:szCs w:val="16"/>
        </w:rPr>
        <w:t xml:space="preserve">; </w:t>
      </w:r>
      <w:r w:rsidRPr="009665F4">
        <w:t>ambarakat@ksu.edu.sa</w:t>
      </w:r>
      <w:r w:rsidRPr="009665F4">
        <w:rPr>
          <w:color w:val="auto"/>
        </w:rPr>
        <w:t xml:space="preserve"> (A.B.)</w:t>
      </w:r>
    </w:p>
    <w:p w14:paraId="7CDD7C17" w14:textId="77777777" w:rsidR="00FB30C8" w:rsidRPr="009665F4" w:rsidRDefault="00FB30C8" w:rsidP="00FB30C8">
      <w:pPr>
        <w:pStyle w:val="MDPI16affiliation"/>
      </w:pPr>
      <w:r w:rsidRPr="009665F4">
        <w:rPr>
          <w:vertAlign w:val="superscript"/>
        </w:rPr>
        <w:t>2</w:t>
      </w:r>
      <w:r w:rsidRPr="009665F4">
        <w:tab/>
        <w:t xml:space="preserve">Department of Chemistry, Faculty of Science, Alexandria University, P.O. Box 426, </w:t>
      </w:r>
      <w:proofErr w:type="spellStart"/>
      <w:r w:rsidRPr="009665F4">
        <w:t>Ibrahimia</w:t>
      </w:r>
      <w:proofErr w:type="spellEnd"/>
      <w:r w:rsidRPr="009665F4">
        <w:t>,</w:t>
      </w:r>
      <w:r>
        <w:t xml:space="preserve"> </w:t>
      </w:r>
      <w:r>
        <w:br/>
      </w:r>
      <w:r w:rsidRPr="009665F4">
        <w:t>Alexandria 21321, Egypt; ayman.elfaham@alexu.edu.eg</w:t>
      </w:r>
      <w:r w:rsidRPr="009665F4">
        <w:rPr>
          <w:rStyle w:val="Hyperlink"/>
          <w:color w:val="auto"/>
          <w:szCs w:val="16"/>
        </w:rPr>
        <w:t xml:space="preserve"> or </w:t>
      </w:r>
      <w:r w:rsidRPr="009665F4">
        <w:t>aymanel_faham@hotmail</w:t>
      </w:r>
      <w:r w:rsidRPr="00F97A16">
        <w:t>.com</w:t>
      </w:r>
    </w:p>
    <w:p w14:paraId="57EE6F7F" w14:textId="77777777" w:rsidR="00FB30C8" w:rsidRPr="009665F4" w:rsidRDefault="00FB30C8" w:rsidP="00FB30C8">
      <w:pPr>
        <w:pStyle w:val="MDPI16affiliation"/>
      </w:pPr>
      <w:r w:rsidRPr="009665F4">
        <w:rPr>
          <w:vertAlign w:val="superscript"/>
        </w:rPr>
        <w:t>3</w:t>
      </w:r>
      <w:r w:rsidRPr="009665F4">
        <w:tab/>
        <w:t xml:space="preserve">School of Chemistry, University of St Andrews, Andrews KY16 9ST, UK; amzs@st-andrews.ac.uk (A.M.Z.S.); </w:t>
      </w:r>
      <w:r w:rsidRPr="009665F4">
        <w:rPr>
          <w:rStyle w:val="Hyperlink"/>
          <w:color w:val="auto"/>
          <w:szCs w:val="16"/>
        </w:rPr>
        <w:t>jdw3@st-andrews.ac.uk (J.D.W.)</w:t>
      </w:r>
    </w:p>
    <w:p w14:paraId="71383FC3" w14:textId="77777777" w:rsidR="00FB30C8" w:rsidRPr="009665F4" w:rsidRDefault="00FB30C8" w:rsidP="00FB30C8">
      <w:pPr>
        <w:pStyle w:val="MDPI16affiliation"/>
      </w:pPr>
      <w:r w:rsidRPr="009665F4">
        <w:rPr>
          <w:vertAlign w:val="superscript"/>
        </w:rPr>
        <w:t>4</w:t>
      </w:r>
      <w:r w:rsidRPr="009665F4">
        <w:tab/>
        <w:t xml:space="preserve">Department of Chemistry, Khalifa University, Abu Dhabi 999041, United Arab Emirates </w:t>
      </w:r>
    </w:p>
    <w:p w14:paraId="15F319DF" w14:textId="77777777" w:rsidR="00FB30C8" w:rsidRPr="009665F4" w:rsidRDefault="00FB30C8" w:rsidP="00FB30C8">
      <w:pPr>
        <w:pStyle w:val="MDPI16affiliation"/>
      </w:pPr>
      <w:r w:rsidRPr="009665F4">
        <w:rPr>
          <w:b/>
        </w:rPr>
        <w:t>*</w:t>
      </w:r>
      <w:r w:rsidRPr="009665F4">
        <w:tab/>
        <w:t>Correspondence: halbahli@ksu.edu.sa (H.H.A.-R.); saied1soliman@yahoo</w:t>
      </w:r>
      <w:r w:rsidRPr="00F97A16">
        <w:t>.com</w:t>
      </w:r>
      <w:r w:rsidRPr="009665F4">
        <w:t xml:space="preserve"> or </w:t>
      </w:r>
      <w:r w:rsidRPr="009665F4">
        <w:br/>
        <w:t>saeed.soliman@alexu.edu.eg (S.M.S.)</w:t>
      </w:r>
      <w:r w:rsidRPr="009665F4">
        <w:rPr>
          <w:rStyle w:val="Hyperlink"/>
          <w:rFonts w:cstheme="majorBidi"/>
          <w:color w:val="auto"/>
          <w:szCs w:val="16"/>
        </w:rPr>
        <w:t xml:space="preserve">; </w:t>
      </w:r>
      <w:r w:rsidRPr="009665F4">
        <w:t>Tel.: +20-1111361059 (S.M.S.)</w:t>
      </w:r>
    </w:p>
    <w:p w14:paraId="04490A4D" w14:textId="77777777" w:rsidR="00F51A61" w:rsidRPr="00F51A61" w:rsidRDefault="00F51A61" w:rsidP="00EE7037">
      <w:pPr>
        <w:spacing w:before="240" w:line="360" w:lineRule="auto"/>
        <w:rPr>
          <w:rFonts w:ascii="Times New Roman" w:hAnsi="Times New Roman"/>
          <w:b/>
          <w:bCs/>
        </w:rPr>
      </w:pPr>
      <w:r w:rsidRPr="00F51A61">
        <w:rPr>
          <w:rFonts w:ascii="Times New Roman" w:hAnsi="Times New Roman"/>
          <w:b/>
          <w:bCs/>
        </w:rPr>
        <w:t>Method S1. Crystal structure determination</w:t>
      </w:r>
    </w:p>
    <w:p w14:paraId="011CD63D" w14:textId="77777777" w:rsidR="00F51A61" w:rsidRPr="00F51A61" w:rsidRDefault="00F51A61" w:rsidP="00F51A61">
      <w:pPr>
        <w:spacing w:line="360" w:lineRule="auto"/>
      </w:pPr>
      <w:r w:rsidRPr="00F51A61">
        <w:rPr>
          <w:rFonts w:ascii="Times New Roman" w:hAnsi="Times New Roman"/>
        </w:rPr>
        <w:t xml:space="preserve">Rigaku SCX-Mini diffractometer with graphite-monochromated Mo-K radiation (0.71075 Å) at 173 K. Intensity data were collected using ω steps accumulating area detector images spanning at least a hemisphere of reciprocal space. All data were corrected for Lorentz, polarization and long-term intensity fluctuations.  Absorption effects were corrected on the basis of multiple equivalent reflections or by semi-empirical methods.  Structures were solved by direct methods and refined by full-matrix least-squares against </w:t>
      </w:r>
      <w:r w:rsidRPr="00F51A61">
        <w:rPr>
          <w:rFonts w:ascii="Times New Roman" w:hAnsi="Times New Roman"/>
          <w:i/>
        </w:rPr>
        <w:t>F</w:t>
      </w:r>
      <w:r w:rsidRPr="00F51A61">
        <w:rPr>
          <w:rFonts w:ascii="Times New Roman" w:hAnsi="Times New Roman"/>
          <w:position w:val="6"/>
        </w:rPr>
        <w:t>2</w:t>
      </w:r>
      <w:r w:rsidRPr="00F51A61">
        <w:rPr>
          <w:rFonts w:ascii="Times New Roman" w:hAnsi="Times New Roman"/>
        </w:rPr>
        <w:t xml:space="preserve"> (SHELXL). Hydrogen atoms were assigned riding isotropic displacement parameters and constrained to idealised geometries </w:t>
      </w:r>
      <w:r w:rsidRPr="00F51A61">
        <w:rPr>
          <w:rFonts w:ascii="Times New Roman" w:hAnsi="Times New Roman"/>
          <w:color w:val="000000" w:themeColor="text1"/>
        </w:rPr>
        <w:t>[46]</w:t>
      </w:r>
    </w:p>
    <w:p w14:paraId="4A53805B" w14:textId="77777777" w:rsidR="00F51A61" w:rsidRDefault="00F51A61" w:rsidP="00F51A61">
      <w:pPr>
        <w:spacing w:line="360" w:lineRule="auto"/>
      </w:pPr>
    </w:p>
    <w:p w14:paraId="0070049F" w14:textId="77777777" w:rsidR="00A2337C" w:rsidRDefault="00A2337C" w:rsidP="00F51A61">
      <w:pPr>
        <w:spacing w:line="360" w:lineRule="auto"/>
      </w:pPr>
    </w:p>
    <w:p w14:paraId="646DF35E" w14:textId="77777777" w:rsidR="00A2337C" w:rsidRDefault="00A2337C" w:rsidP="00F51A61">
      <w:pPr>
        <w:spacing w:line="360" w:lineRule="auto"/>
      </w:pPr>
    </w:p>
    <w:p w14:paraId="691E5269" w14:textId="77777777" w:rsidR="00A2337C" w:rsidRDefault="00A2337C" w:rsidP="00F51A61">
      <w:pPr>
        <w:spacing w:line="360" w:lineRule="auto"/>
      </w:pPr>
    </w:p>
    <w:p w14:paraId="4B4C75B6" w14:textId="77777777" w:rsidR="00A2337C" w:rsidRDefault="00A2337C" w:rsidP="00F51A61">
      <w:pPr>
        <w:spacing w:line="360" w:lineRule="auto"/>
      </w:pPr>
    </w:p>
    <w:p w14:paraId="4F4CB2B7" w14:textId="77777777" w:rsidR="00A2337C" w:rsidRDefault="00A2337C" w:rsidP="00F51A61">
      <w:pPr>
        <w:spacing w:line="360" w:lineRule="auto"/>
      </w:pPr>
    </w:p>
    <w:p w14:paraId="4C70EA06" w14:textId="77777777" w:rsidR="00A2337C" w:rsidRDefault="00A2337C" w:rsidP="00F51A61">
      <w:pPr>
        <w:spacing w:line="360" w:lineRule="auto"/>
      </w:pPr>
    </w:p>
    <w:p w14:paraId="22CED654" w14:textId="77777777" w:rsidR="00A2337C" w:rsidRDefault="00A2337C" w:rsidP="00F51A61">
      <w:pPr>
        <w:spacing w:line="360" w:lineRule="auto"/>
      </w:pPr>
    </w:p>
    <w:p w14:paraId="74010870" w14:textId="77777777" w:rsidR="00A2337C" w:rsidRDefault="00A2337C" w:rsidP="00F51A61">
      <w:pPr>
        <w:spacing w:line="360" w:lineRule="auto"/>
      </w:pPr>
    </w:p>
    <w:p w14:paraId="66ADAC2B" w14:textId="77777777" w:rsidR="00A2337C" w:rsidRDefault="00A2337C" w:rsidP="00F51A61">
      <w:pPr>
        <w:spacing w:line="360" w:lineRule="auto"/>
      </w:pPr>
    </w:p>
    <w:p w14:paraId="2FB2D4A6" w14:textId="77777777" w:rsidR="00A2337C" w:rsidRDefault="00A2337C" w:rsidP="00F51A61">
      <w:pPr>
        <w:spacing w:line="360" w:lineRule="auto"/>
      </w:pPr>
    </w:p>
    <w:p w14:paraId="7A94B4C6" w14:textId="77777777" w:rsidR="00A2337C" w:rsidRDefault="00A2337C" w:rsidP="00F51A61">
      <w:pPr>
        <w:spacing w:line="360" w:lineRule="auto"/>
      </w:pPr>
    </w:p>
    <w:p w14:paraId="35E81348" w14:textId="77777777" w:rsidR="00A2337C" w:rsidRDefault="00A2337C" w:rsidP="00F51A61">
      <w:pPr>
        <w:spacing w:line="360" w:lineRule="auto"/>
      </w:pPr>
    </w:p>
    <w:p w14:paraId="233874AB" w14:textId="77777777" w:rsidR="00A2337C" w:rsidRDefault="00A2337C" w:rsidP="00F51A61">
      <w:pPr>
        <w:spacing w:line="360" w:lineRule="auto"/>
      </w:pPr>
    </w:p>
    <w:p w14:paraId="47E090D9" w14:textId="77777777" w:rsidR="00A2337C" w:rsidRDefault="00A2337C" w:rsidP="00F51A61">
      <w:pPr>
        <w:spacing w:line="360" w:lineRule="auto"/>
      </w:pPr>
    </w:p>
    <w:p w14:paraId="0D21AEAD" w14:textId="77777777" w:rsidR="00A2337C" w:rsidRDefault="00A2337C" w:rsidP="00F51A61">
      <w:pPr>
        <w:spacing w:line="360" w:lineRule="auto"/>
      </w:pPr>
    </w:p>
    <w:p w14:paraId="6036CE28" w14:textId="77777777" w:rsidR="00A2337C" w:rsidRDefault="00A2337C" w:rsidP="00F51A61">
      <w:pPr>
        <w:spacing w:line="360" w:lineRule="auto"/>
      </w:pPr>
    </w:p>
    <w:p w14:paraId="318FADEC" w14:textId="77777777" w:rsidR="00A2337C" w:rsidRDefault="00A2337C" w:rsidP="00F51A61">
      <w:pPr>
        <w:spacing w:line="360" w:lineRule="auto"/>
      </w:pPr>
    </w:p>
    <w:p w14:paraId="701004F5" w14:textId="77777777" w:rsidR="00A2337C" w:rsidRDefault="00A2337C" w:rsidP="00F51A61">
      <w:pPr>
        <w:spacing w:line="360" w:lineRule="auto"/>
      </w:pPr>
    </w:p>
    <w:p w14:paraId="319B1D1F" w14:textId="77777777" w:rsidR="00A2337C" w:rsidRDefault="00A2337C" w:rsidP="00F51A61">
      <w:pPr>
        <w:spacing w:line="360" w:lineRule="auto"/>
      </w:pPr>
    </w:p>
    <w:p w14:paraId="26B8FA51" w14:textId="77777777" w:rsidR="00A2337C" w:rsidRDefault="00A2337C" w:rsidP="00F51A61">
      <w:pPr>
        <w:spacing w:line="360" w:lineRule="auto"/>
      </w:pPr>
    </w:p>
    <w:p w14:paraId="2167B6EA" w14:textId="77777777" w:rsidR="00A2337C" w:rsidRDefault="00A2337C" w:rsidP="00F51A61">
      <w:pPr>
        <w:spacing w:line="360" w:lineRule="auto"/>
      </w:pPr>
    </w:p>
    <w:p w14:paraId="22E0FF68" w14:textId="77777777" w:rsidR="00A2337C" w:rsidRDefault="00A2337C" w:rsidP="00F51A61">
      <w:pPr>
        <w:spacing w:line="360" w:lineRule="auto"/>
      </w:pPr>
    </w:p>
    <w:p w14:paraId="2CB30ECD" w14:textId="77777777" w:rsidR="00A2337C" w:rsidRDefault="00A2337C" w:rsidP="00F51A61">
      <w:pPr>
        <w:spacing w:line="360" w:lineRule="auto"/>
      </w:pPr>
    </w:p>
    <w:p w14:paraId="6C4B9607" w14:textId="77777777" w:rsidR="00A2337C" w:rsidRDefault="00A2337C" w:rsidP="00F51A61">
      <w:pPr>
        <w:spacing w:line="360" w:lineRule="auto"/>
      </w:pPr>
    </w:p>
    <w:p w14:paraId="2AC7764B" w14:textId="77777777" w:rsidR="004208E5" w:rsidRPr="0088154B" w:rsidRDefault="004208E5" w:rsidP="00A2337C">
      <w:pPr>
        <w:spacing w:line="360" w:lineRule="auto"/>
        <w:rPr>
          <w:rFonts w:cstheme="majorBidi"/>
          <w:b/>
          <w:bCs/>
        </w:rPr>
      </w:pPr>
      <w:r w:rsidRPr="0088154B">
        <w:rPr>
          <w:rFonts w:cstheme="majorBidi"/>
          <w:b/>
          <w:bCs/>
        </w:rPr>
        <w:t>Method S</w:t>
      </w:r>
      <w:r w:rsidR="00A2337C">
        <w:rPr>
          <w:rFonts w:cstheme="majorBidi"/>
          <w:b/>
          <w:bCs/>
        </w:rPr>
        <w:t>2</w:t>
      </w:r>
      <w:r w:rsidRPr="0088154B">
        <w:rPr>
          <w:rFonts w:cstheme="majorBidi"/>
          <w:b/>
          <w:bCs/>
        </w:rPr>
        <w:t>.  Evaluation of antimicrobial activity [</w:t>
      </w:r>
      <w:r w:rsidR="004967B1">
        <w:rPr>
          <w:rFonts w:cstheme="majorBidi"/>
          <w:b/>
          <w:bCs/>
        </w:rPr>
        <w:t>49</w:t>
      </w:r>
      <w:r w:rsidRPr="0088154B">
        <w:rPr>
          <w:rFonts w:cstheme="majorBidi"/>
          <w:b/>
          <w:bCs/>
        </w:rPr>
        <w:t>]</w:t>
      </w:r>
    </w:p>
    <w:p w14:paraId="4111D684" w14:textId="77777777" w:rsidR="004208E5" w:rsidRPr="0088154B" w:rsidRDefault="004208E5" w:rsidP="00F51A61">
      <w:pPr>
        <w:spacing w:line="360" w:lineRule="auto"/>
        <w:rPr>
          <w:rFonts w:cstheme="majorBidi"/>
        </w:rPr>
      </w:pPr>
      <w:r w:rsidRPr="0088154B">
        <w:rPr>
          <w:rFonts w:cstheme="majorBidi"/>
          <w:i/>
          <w:iCs/>
        </w:rPr>
        <w:t>a) Tested pathogenic microbes</w:t>
      </w:r>
    </w:p>
    <w:p w14:paraId="645F536D" w14:textId="77777777" w:rsidR="004208E5" w:rsidRPr="0088154B" w:rsidRDefault="004208E5" w:rsidP="004208E5">
      <w:pPr>
        <w:spacing w:line="360" w:lineRule="auto"/>
        <w:rPr>
          <w:rFonts w:cstheme="majorBidi"/>
        </w:rPr>
      </w:pPr>
      <w:r w:rsidRPr="0088154B">
        <w:rPr>
          <w:rFonts w:cstheme="majorBidi"/>
        </w:rPr>
        <w:t>The antimicrobial activity of the ligand (</w:t>
      </w:r>
      <w:r w:rsidRPr="0088154B">
        <w:rPr>
          <w:rFonts w:cstheme="majorBidi"/>
          <w:b/>
          <w:bCs/>
        </w:rPr>
        <w:t>HDPPT</w:t>
      </w:r>
      <w:r w:rsidRPr="0088154B">
        <w:rPr>
          <w:rFonts w:cstheme="majorBidi"/>
        </w:rPr>
        <w:t>) and the [Cu</w:t>
      </w:r>
      <w:r w:rsidRPr="0088154B">
        <w:rPr>
          <w:rFonts w:cstheme="majorBidi"/>
          <w:vertAlign w:val="subscript"/>
        </w:rPr>
        <w:t>4</w:t>
      </w:r>
      <w:r w:rsidRPr="0088154B">
        <w:rPr>
          <w:rFonts w:cstheme="majorBidi"/>
        </w:rPr>
        <w:t>(DPPT)</w:t>
      </w:r>
      <w:r w:rsidRPr="0088154B">
        <w:rPr>
          <w:rFonts w:cstheme="majorBidi"/>
          <w:vertAlign w:val="subscript"/>
        </w:rPr>
        <w:t>2</w:t>
      </w:r>
      <w:r w:rsidRPr="0088154B">
        <w:rPr>
          <w:rFonts w:cstheme="majorBidi"/>
        </w:rPr>
        <w:t>Cl</w:t>
      </w:r>
      <w:r w:rsidRPr="0088154B">
        <w:rPr>
          <w:rFonts w:cstheme="majorBidi"/>
          <w:vertAlign w:val="subscript"/>
        </w:rPr>
        <w:t>6</w:t>
      </w:r>
      <w:r w:rsidRPr="0088154B">
        <w:rPr>
          <w:rFonts w:cstheme="majorBidi"/>
        </w:rPr>
        <w:t>]</w:t>
      </w:r>
      <w:r w:rsidRPr="0088154B">
        <w:rPr>
          <w:lang w:bidi="ar-EG"/>
        </w:rPr>
        <w:t xml:space="preserve"> complex </w:t>
      </w:r>
      <w:r w:rsidRPr="0088154B">
        <w:rPr>
          <w:rFonts w:cstheme="majorBidi"/>
        </w:rPr>
        <w:t>was evaluated against two Gram positive bacteria ((S. aureus (ATCC 25923) and B. subtilis (RCMB015(1)NRR LB-543)), two Gram negatvie bacteria ((E. coli (ATCC 25922) and P. vulgaris (RCMB 004(1)ATCC 13315)) and two fungi ((A. fumigatus (RCMB 002008) and C. albicans (RCMB 005003(1) ATCC 10231)). Gentamycin was used as standard antibacterial agent. The samples maintained in Brain heart infusion (BHI) at 20</w:t>
      </w:r>
      <w:r w:rsidRPr="0088154B">
        <w:rPr>
          <w:rFonts w:cstheme="majorBidi"/>
          <w:vertAlign w:val="superscript"/>
        </w:rPr>
        <w:t>o</w:t>
      </w:r>
      <w:r w:rsidRPr="0088154B">
        <w:rPr>
          <w:rFonts w:cstheme="majorBidi"/>
        </w:rPr>
        <w:t xml:space="preserve">C; 300 mL of each stock–culture was added to 3 mL of BHI broth. Overnight cultures were kept for 24 h at 37 oC ± 1oC and the purity of cultures was checked after 24 h of incubation. After 24 h of incubation, bacterial suspension was diluted with sterile physiological solution, for the diffusion and indirect bioautographic tests, to 108 CFU/mL (turbidity = McFarland barium sulfate standard 0.5). In case of fungi </w:t>
      </w:r>
      <w:r w:rsidRPr="0088154B">
        <w:rPr>
          <w:rFonts w:cstheme="majorBidi"/>
          <w:i/>
          <w:iCs/>
        </w:rPr>
        <w:t xml:space="preserve">A. fumigatus </w:t>
      </w:r>
      <w:r w:rsidRPr="0088154B">
        <w:rPr>
          <w:rFonts w:cstheme="majorBidi"/>
        </w:rPr>
        <w:t xml:space="preserve">(RCMB 002008) and </w:t>
      </w:r>
      <w:r w:rsidRPr="0088154B">
        <w:rPr>
          <w:rFonts w:cstheme="majorBidi"/>
          <w:i/>
          <w:iCs/>
        </w:rPr>
        <w:t xml:space="preserve">C. albicans </w:t>
      </w:r>
      <w:r w:rsidRPr="0088154B">
        <w:rPr>
          <w:rFonts w:cstheme="majorBidi"/>
        </w:rPr>
        <w:t xml:space="preserve">(RCMB 005003(1) ATCC 10231), the used medium in </w:t>
      </w:r>
      <w:r w:rsidRPr="0088154B">
        <w:rPr>
          <w:rFonts w:cstheme="majorBidi"/>
        </w:rPr>
        <w:lastRenderedPageBreak/>
        <w:t>antagonistic activity against tested fungi is Potato Dextrose Agar, where Ketoconazole was used standard antifungal agent.</w:t>
      </w:r>
    </w:p>
    <w:p w14:paraId="381075C2" w14:textId="77777777" w:rsidR="004208E5" w:rsidRPr="0088154B" w:rsidRDefault="004208E5" w:rsidP="004208E5">
      <w:pPr>
        <w:spacing w:line="360" w:lineRule="auto"/>
        <w:rPr>
          <w:rFonts w:cstheme="majorBidi"/>
          <w:i/>
          <w:iCs/>
        </w:rPr>
      </w:pPr>
      <w:r w:rsidRPr="0088154B">
        <w:rPr>
          <w:rFonts w:cstheme="majorBidi"/>
          <w:i/>
          <w:iCs/>
        </w:rPr>
        <w:t>b) Agar well diffusion method</w:t>
      </w:r>
    </w:p>
    <w:p w14:paraId="6A82624D" w14:textId="77777777" w:rsidR="004208E5" w:rsidRPr="0088154B" w:rsidRDefault="004208E5" w:rsidP="004208E5">
      <w:pPr>
        <w:spacing w:line="360" w:lineRule="auto"/>
        <w:rPr>
          <w:rFonts w:cstheme="majorBidi"/>
        </w:rPr>
      </w:pPr>
      <w:r w:rsidRPr="0088154B">
        <w:rPr>
          <w:rFonts w:cstheme="majorBidi"/>
        </w:rPr>
        <w:t>Synthetic compound was prepared at concentration 10 mg/mL dissolved in DMSO as stock solutions. Preparation of sterilized Mueller Hinton agar plates seeded with tested pathogenic bacteria occurred. The wells are done by sterilized cork borer in size 6 mm and hence 100 μL of the synthetic compound was poured in each well comparably with DMSO as control. The plates were incubated at 37°C for 24-48 h (for bacteria) and at 28°C for 48 h (for fungi). After incubation period; antimicrobial activity was determined</w:t>
      </w:r>
    </w:p>
    <w:p w14:paraId="2702011C" w14:textId="77777777" w:rsidR="004208E5" w:rsidRPr="0088154B" w:rsidRDefault="004208E5" w:rsidP="004208E5">
      <w:pPr>
        <w:spacing w:line="360" w:lineRule="auto"/>
        <w:rPr>
          <w:rFonts w:cstheme="majorBidi"/>
        </w:rPr>
      </w:pPr>
      <w:r w:rsidRPr="0088154B">
        <w:rPr>
          <w:rFonts w:cstheme="majorBidi"/>
        </w:rPr>
        <w:t>by inhibition zones.</w:t>
      </w:r>
    </w:p>
    <w:p w14:paraId="12F1608C" w14:textId="77777777" w:rsidR="004208E5" w:rsidRPr="0088154B" w:rsidRDefault="004208E5" w:rsidP="004208E5">
      <w:pPr>
        <w:spacing w:line="360" w:lineRule="auto"/>
        <w:rPr>
          <w:rFonts w:cstheme="majorBidi"/>
        </w:rPr>
      </w:pPr>
    </w:p>
    <w:p w14:paraId="51119860" w14:textId="77777777" w:rsidR="004208E5" w:rsidRPr="0088154B" w:rsidRDefault="004208E5" w:rsidP="004208E5">
      <w:pPr>
        <w:spacing w:line="360" w:lineRule="auto"/>
        <w:rPr>
          <w:rFonts w:cstheme="majorBidi"/>
          <w:i/>
          <w:iCs/>
        </w:rPr>
      </w:pPr>
      <w:r w:rsidRPr="0088154B">
        <w:rPr>
          <w:rFonts w:cstheme="majorBidi"/>
          <w:i/>
          <w:iCs/>
        </w:rPr>
        <w:t>C) Minimum Inhibitory Concentration (MIC)</w:t>
      </w:r>
    </w:p>
    <w:p w14:paraId="2B0F7996" w14:textId="77777777" w:rsidR="004208E5" w:rsidRPr="0088154B" w:rsidRDefault="004208E5" w:rsidP="004208E5">
      <w:pPr>
        <w:spacing w:line="360" w:lineRule="auto"/>
        <w:rPr>
          <w:rFonts w:cstheme="majorBidi"/>
        </w:rPr>
      </w:pPr>
      <w:r w:rsidRPr="0088154B">
        <w:rPr>
          <w:rFonts w:cstheme="majorBidi"/>
        </w:rPr>
        <w:t>Different dilutions of the compound are inoculated with tested pathogenic microbes. After incubation period of 96 well microplate, the results are measured using microplate reader. To determine at what level the MIC endpoint is established; subculture of test samples at different concentrations occurred in nutrient agar plates.</w:t>
      </w:r>
    </w:p>
    <w:p w14:paraId="0BB839C0" w14:textId="77777777" w:rsidR="004208E5" w:rsidRPr="0088154B" w:rsidRDefault="004208E5" w:rsidP="004208E5">
      <w:pPr>
        <w:spacing w:line="360" w:lineRule="auto"/>
        <w:rPr>
          <w:color w:val="222222"/>
          <w:shd w:val="clear" w:color="auto" w:fill="FFFFFF"/>
        </w:rPr>
      </w:pPr>
    </w:p>
    <w:p w14:paraId="358C2E74" w14:textId="77777777" w:rsidR="004208E5" w:rsidRPr="0088154B" w:rsidRDefault="004208E5" w:rsidP="004208E5">
      <w:pPr>
        <w:spacing w:line="360" w:lineRule="auto"/>
        <w:rPr>
          <w:color w:val="222222"/>
          <w:shd w:val="clear" w:color="auto" w:fill="FFFFFF"/>
        </w:rPr>
      </w:pPr>
    </w:p>
    <w:p w14:paraId="5DDED85A" w14:textId="77777777" w:rsidR="004208E5" w:rsidRDefault="004208E5" w:rsidP="004208E5">
      <w:pPr>
        <w:rPr>
          <w:color w:val="222222"/>
          <w:shd w:val="clear" w:color="auto" w:fill="FFFFFF"/>
        </w:rPr>
      </w:pPr>
    </w:p>
    <w:p w14:paraId="491EE816" w14:textId="77777777" w:rsidR="004208E5" w:rsidRDefault="004208E5" w:rsidP="004208E5">
      <w:pPr>
        <w:rPr>
          <w:color w:val="222222"/>
          <w:shd w:val="clear" w:color="auto" w:fill="FFFFFF"/>
        </w:rPr>
      </w:pPr>
    </w:p>
    <w:p w14:paraId="41BA6357" w14:textId="77777777" w:rsidR="004208E5" w:rsidRDefault="004208E5" w:rsidP="004208E5">
      <w:pPr>
        <w:rPr>
          <w:color w:val="222222"/>
          <w:shd w:val="clear" w:color="auto" w:fill="FFFFFF"/>
        </w:rPr>
      </w:pPr>
      <w:r>
        <w:rPr>
          <w:color w:val="222222"/>
          <w:shd w:val="clear" w:color="auto" w:fill="FFFFFF"/>
          <w:lang w:eastAsia="en-US"/>
        </w:rPr>
        <w:drawing>
          <wp:inline distT="0" distB="0" distL="0" distR="0" wp14:anchorId="1A251C40" wp14:editId="1CB979E0">
            <wp:extent cx="5486400" cy="2442166"/>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cstate="print"/>
                    <a:srcRect/>
                    <a:stretch>
                      <a:fillRect/>
                    </a:stretch>
                  </pic:blipFill>
                  <pic:spPr bwMode="auto">
                    <a:xfrm>
                      <a:off x="0" y="0"/>
                      <a:ext cx="5486400" cy="2442166"/>
                    </a:xfrm>
                    <a:prstGeom prst="rect">
                      <a:avLst/>
                    </a:prstGeom>
                    <a:noFill/>
                    <a:ln w="9525">
                      <a:noFill/>
                      <a:miter lim="800000"/>
                      <a:headEnd/>
                      <a:tailEnd/>
                    </a:ln>
                  </pic:spPr>
                </pic:pic>
              </a:graphicData>
            </a:graphic>
          </wp:inline>
        </w:drawing>
      </w:r>
    </w:p>
    <w:p w14:paraId="2681E829" w14:textId="77777777" w:rsidR="004208E5" w:rsidRDefault="004208E5" w:rsidP="004208E5">
      <w:pPr>
        <w:rPr>
          <w:lang w:bidi="ar-EG"/>
        </w:rPr>
      </w:pPr>
      <w:r w:rsidRPr="004208E5">
        <w:rPr>
          <w:b/>
          <w:bCs/>
          <w:color w:val="222222"/>
          <w:shd w:val="clear" w:color="auto" w:fill="FFFFFF"/>
        </w:rPr>
        <w:t>Fig. S1</w:t>
      </w:r>
      <w:r>
        <w:rPr>
          <w:color w:val="222222"/>
          <w:shd w:val="clear" w:color="auto" w:fill="FFFFFF"/>
        </w:rPr>
        <w:t xml:space="preserve"> FTIR spectra of the </w:t>
      </w:r>
      <w:r w:rsidRPr="00C258F4">
        <w:rPr>
          <w:rFonts w:cstheme="majorBidi"/>
        </w:rPr>
        <w:t>[Cu</w:t>
      </w:r>
      <w:r w:rsidRPr="00C258F4">
        <w:rPr>
          <w:rFonts w:cstheme="majorBidi"/>
          <w:vertAlign w:val="subscript"/>
        </w:rPr>
        <w:t>4</w:t>
      </w:r>
      <w:r w:rsidRPr="00C258F4">
        <w:rPr>
          <w:rFonts w:cstheme="majorBidi"/>
        </w:rPr>
        <w:t>(DPPT)</w:t>
      </w:r>
      <w:r w:rsidRPr="00C258F4">
        <w:rPr>
          <w:rFonts w:cstheme="majorBidi"/>
          <w:vertAlign w:val="subscript"/>
        </w:rPr>
        <w:t>2</w:t>
      </w:r>
      <w:r w:rsidRPr="00C258F4">
        <w:rPr>
          <w:rFonts w:cstheme="majorBidi"/>
        </w:rPr>
        <w:t>Cl</w:t>
      </w:r>
      <w:r w:rsidRPr="00C258F4">
        <w:rPr>
          <w:rFonts w:cstheme="majorBidi"/>
          <w:vertAlign w:val="subscript"/>
        </w:rPr>
        <w:t>6</w:t>
      </w:r>
      <w:r w:rsidRPr="00C258F4">
        <w:rPr>
          <w:rFonts w:cstheme="majorBidi"/>
        </w:rPr>
        <w:t>]</w:t>
      </w:r>
      <w:r w:rsidRPr="00C258F4">
        <w:rPr>
          <w:lang w:bidi="ar-EG"/>
        </w:rPr>
        <w:t xml:space="preserve"> complex</w:t>
      </w:r>
      <w:r>
        <w:rPr>
          <w:lang w:bidi="ar-EG"/>
        </w:rPr>
        <w:t>.</w:t>
      </w:r>
    </w:p>
    <w:p w14:paraId="60B4216B" w14:textId="77777777" w:rsidR="004208E5" w:rsidRDefault="004208E5" w:rsidP="004208E5">
      <w:pPr>
        <w:rPr>
          <w:color w:val="222222"/>
          <w:shd w:val="clear" w:color="auto" w:fill="FFFFFF"/>
        </w:rPr>
      </w:pPr>
    </w:p>
    <w:p w14:paraId="7972EC5F" w14:textId="77777777" w:rsidR="004208E5" w:rsidRDefault="004208E5" w:rsidP="004208E5">
      <w:pPr>
        <w:rPr>
          <w:color w:val="222222"/>
          <w:shd w:val="clear" w:color="auto" w:fill="FFFFFF"/>
        </w:rPr>
      </w:pPr>
    </w:p>
    <w:p w14:paraId="48E2E4EF" w14:textId="77777777" w:rsidR="004208E5" w:rsidRDefault="004208E5" w:rsidP="004208E5">
      <w:pPr>
        <w:rPr>
          <w:color w:val="222222"/>
          <w:shd w:val="clear" w:color="auto" w:fill="FFFFFF"/>
        </w:rPr>
      </w:pPr>
    </w:p>
    <w:p w14:paraId="4375785F" w14:textId="77777777" w:rsidR="004208E5" w:rsidRDefault="004208E5" w:rsidP="004208E5">
      <w:pPr>
        <w:rPr>
          <w:color w:val="222222"/>
          <w:shd w:val="clear" w:color="auto" w:fill="FFFFFF"/>
        </w:rPr>
      </w:pPr>
    </w:p>
    <w:p w14:paraId="0C979C4C" w14:textId="77777777" w:rsidR="004208E5" w:rsidRDefault="004208E5" w:rsidP="004208E5">
      <w:pPr>
        <w:rPr>
          <w:color w:val="222222"/>
          <w:shd w:val="clear" w:color="auto" w:fill="FFFFFF"/>
        </w:rPr>
      </w:pPr>
      <w:r w:rsidRPr="00693B6C">
        <w:rPr>
          <w:color w:val="222222"/>
          <w:shd w:val="clear" w:color="auto" w:fill="FFFFFF"/>
          <w:lang w:eastAsia="en-US"/>
        </w:rPr>
        <w:drawing>
          <wp:inline distT="0" distB="0" distL="0" distR="0" wp14:anchorId="128549D0" wp14:editId="1E6D7653">
            <wp:extent cx="5486400" cy="2846717"/>
            <wp:effectExtent l="19050" t="0" r="0" b="0"/>
            <wp:docPr id="16"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cstate="print"/>
                    <a:srcRect/>
                    <a:stretch>
                      <a:fillRect/>
                    </a:stretch>
                  </pic:blipFill>
                  <pic:spPr bwMode="auto">
                    <a:xfrm>
                      <a:off x="0" y="0"/>
                      <a:ext cx="5486400" cy="2846717"/>
                    </a:xfrm>
                    <a:prstGeom prst="rect">
                      <a:avLst/>
                    </a:prstGeom>
                    <a:noFill/>
                    <a:ln w="9525">
                      <a:noFill/>
                      <a:miter lim="800000"/>
                      <a:headEnd/>
                      <a:tailEnd/>
                    </a:ln>
                  </pic:spPr>
                </pic:pic>
              </a:graphicData>
            </a:graphic>
          </wp:inline>
        </w:drawing>
      </w:r>
    </w:p>
    <w:p w14:paraId="2F53C389" w14:textId="77777777" w:rsidR="004208E5" w:rsidRDefault="004208E5" w:rsidP="004208E5">
      <w:pPr>
        <w:rPr>
          <w:lang w:bidi="ar-EG"/>
        </w:rPr>
      </w:pPr>
      <w:r w:rsidRPr="004208E5">
        <w:rPr>
          <w:b/>
          <w:bCs/>
          <w:color w:val="222222"/>
          <w:shd w:val="clear" w:color="auto" w:fill="FFFFFF"/>
        </w:rPr>
        <w:t>Fig. S2</w:t>
      </w:r>
      <w:r>
        <w:rPr>
          <w:color w:val="222222"/>
          <w:shd w:val="clear" w:color="auto" w:fill="FFFFFF"/>
        </w:rPr>
        <w:t xml:space="preserve"> FTIR spectra of the </w:t>
      </w:r>
      <w:r>
        <w:rPr>
          <w:rFonts w:cstheme="majorBidi"/>
        </w:rPr>
        <w:t>H</w:t>
      </w:r>
      <w:r w:rsidRPr="00C258F4">
        <w:rPr>
          <w:rFonts w:cstheme="majorBidi"/>
        </w:rPr>
        <w:t>DPPT</w:t>
      </w:r>
      <w:r>
        <w:rPr>
          <w:lang w:bidi="ar-EG"/>
        </w:rPr>
        <w:t>.</w:t>
      </w:r>
    </w:p>
    <w:p w14:paraId="3B8133E3" w14:textId="77777777" w:rsidR="004208E5" w:rsidRPr="0007650B" w:rsidRDefault="004208E5" w:rsidP="004208E5">
      <w:pPr>
        <w:rPr>
          <w:color w:val="222222"/>
          <w:shd w:val="clear" w:color="auto" w:fill="FFFFFF"/>
        </w:rPr>
      </w:pPr>
    </w:p>
    <w:p w14:paraId="66B0727D" w14:textId="77777777" w:rsidR="004208E5" w:rsidRDefault="004208E5"/>
    <w:sectPr w:rsidR="004208E5" w:rsidSect="00200B9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URWPalladioL-Bold">
    <w:altName w:val="Calibri"/>
    <w:panose1 w:val="00000000000000000000"/>
    <w:charset w:val="00"/>
    <w:family w:val="auto"/>
    <w:notTrueType/>
    <w:pitch w:val="default"/>
    <w:sig w:usb0="00000003" w:usb1="00000000" w:usb2="00000000" w:usb3="00000000" w:csb0="00000001" w:csb1="00000000"/>
  </w:font>
  <w:font w:name="AdvGulliv-R">
    <w:altName w:val="Yu Gothic"/>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57AC0"/>
    <w:multiLevelType w:val="hybridMultilevel"/>
    <w:tmpl w:val="80469CCA"/>
    <w:lvl w:ilvl="0" w:tplc="737A8434">
      <w:start w:val="3"/>
      <w:numFmt w:val="decimal"/>
      <w:lvlText w:val="%1"/>
      <w:lvlJc w:val="left"/>
      <w:pPr>
        <w:ind w:left="2968" w:hanging="360"/>
      </w:pPr>
      <w:rPr>
        <w:color w:val="000000"/>
        <w:vertAlign w:val="superscrip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208E5"/>
    <w:rsid w:val="00031EC6"/>
    <w:rsid w:val="00200B9D"/>
    <w:rsid w:val="00210FE6"/>
    <w:rsid w:val="00250E4B"/>
    <w:rsid w:val="003F6B32"/>
    <w:rsid w:val="004208E5"/>
    <w:rsid w:val="00480C2F"/>
    <w:rsid w:val="004967B1"/>
    <w:rsid w:val="009201FF"/>
    <w:rsid w:val="00A2337C"/>
    <w:rsid w:val="00A35343"/>
    <w:rsid w:val="00A82519"/>
    <w:rsid w:val="00B10706"/>
    <w:rsid w:val="00B12695"/>
    <w:rsid w:val="00C91DFD"/>
    <w:rsid w:val="00D13D66"/>
    <w:rsid w:val="00D51394"/>
    <w:rsid w:val="00D85095"/>
    <w:rsid w:val="00D93632"/>
    <w:rsid w:val="00EE7037"/>
    <w:rsid w:val="00F51A61"/>
    <w:rsid w:val="00FB30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6680B"/>
  <w15:docId w15:val="{3A0F18C9-A13B-4AC2-BBAA-CFB38C286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8E5"/>
    <w:pPr>
      <w:spacing w:after="0" w:line="260" w:lineRule="atLeast"/>
      <w:jc w:val="both"/>
    </w:pPr>
    <w:rPr>
      <w:rFonts w:ascii="Palatino Linotype" w:eastAsia="宋体" w:hAnsi="Palatino Linotype" w:cs="Times New Roman"/>
      <w:noProof/>
      <w:color w:val="000000"/>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8E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8E5"/>
    <w:rPr>
      <w:rFonts w:ascii="Tahoma" w:eastAsia="宋体" w:hAnsi="Tahoma" w:cs="Tahoma"/>
      <w:noProof/>
      <w:color w:val="000000"/>
      <w:sz w:val="16"/>
      <w:szCs w:val="16"/>
      <w:lang w:eastAsia="zh-CN"/>
    </w:rPr>
  </w:style>
  <w:style w:type="paragraph" w:customStyle="1" w:styleId="MDPI31text">
    <w:name w:val="MDPI_3.1_text"/>
    <w:qFormat/>
    <w:rsid w:val="004208E5"/>
    <w:pPr>
      <w:adjustRightInd w:val="0"/>
      <w:snapToGrid w:val="0"/>
      <w:spacing w:after="0" w:line="228" w:lineRule="auto"/>
      <w:ind w:left="2608" w:firstLine="425"/>
      <w:jc w:val="both"/>
    </w:pPr>
    <w:rPr>
      <w:rFonts w:ascii="Palatino Linotype" w:eastAsia="Times New Roman" w:hAnsi="Palatino Linotype" w:cs="Times New Roman"/>
      <w:color w:val="000000"/>
      <w:sz w:val="20"/>
      <w:lang w:eastAsia="de-DE" w:bidi="en-US"/>
    </w:rPr>
  </w:style>
  <w:style w:type="character" w:styleId="Hyperlink">
    <w:name w:val="Hyperlink"/>
    <w:uiPriority w:val="99"/>
    <w:unhideWhenUsed/>
    <w:rsid w:val="004208E5"/>
    <w:rPr>
      <w:color w:val="0000FF"/>
      <w:u w:val="single"/>
    </w:rPr>
  </w:style>
  <w:style w:type="paragraph" w:customStyle="1" w:styleId="MDPI16affiliation">
    <w:name w:val="MDPI_1.6_affiliation"/>
    <w:qFormat/>
    <w:rsid w:val="004208E5"/>
    <w:pPr>
      <w:adjustRightInd w:val="0"/>
      <w:snapToGrid w:val="0"/>
      <w:spacing w:after="0" w:line="200" w:lineRule="atLeast"/>
      <w:ind w:left="2806" w:hanging="198"/>
    </w:pPr>
    <w:rPr>
      <w:rFonts w:ascii="Palatino Linotype" w:eastAsia="Times New Roman" w:hAnsi="Palatino Linotype" w:cs="Times New Roman"/>
      <w:color w:val="000000"/>
      <w:sz w:val="16"/>
      <w:szCs w:val="18"/>
      <w:lang w:eastAsia="de-DE" w:bidi="en-US"/>
    </w:rPr>
  </w:style>
  <w:style w:type="paragraph" w:customStyle="1" w:styleId="MDPI13authornames">
    <w:name w:val="MDPI_1.3_authornames"/>
    <w:next w:val="Normal"/>
    <w:qFormat/>
    <w:rsid w:val="00FB30C8"/>
    <w:pPr>
      <w:adjustRightInd w:val="0"/>
      <w:snapToGrid w:val="0"/>
      <w:spacing w:after="360" w:line="260" w:lineRule="atLeast"/>
    </w:pPr>
    <w:rPr>
      <w:rFonts w:ascii="Palatino Linotype" w:eastAsia="Times New Roman" w:hAnsi="Palatino Linotype" w:cs="Times New Roman"/>
      <w:b/>
      <w:color w:val="000000"/>
      <w:kern w:val="2"/>
      <w:sz w:val="20"/>
      <w:lang w:eastAsia="de-DE" w:bidi="en-US"/>
    </w:rPr>
  </w:style>
  <w:style w:type="paragraph" w:customStyle="1" w:styleId="MDPI14history">
    <w:name w:val="MDPI_1.4_history"/>
    <w:basedOn w:val="Normal"/>
    <w:next w:val="Normal"/>
    <w:qFormat/>
    <w:rsid w:val="00FB30C8"/>
    <w:pPr>
      <w:adjustRightInd w:val="0"/>
      <w:snapToGrid w:val="0"/>
      <w:spacing w:line="240" w:lineRule="atLeast"/>
      <w:ind w:right="113"/>
      <w:jc w:val="left"/>
    </w:pPr>
    <w:rPr>
      <w:rFonts w:eastAsia="Times New Roman"/>
      <w:noProof w:val="0"/>
      <w:kern w:val="2"/>
      <w:sz w:val="14"/>
      <w:lang w:eastAsia="de-DE" w:bidi="en-US"/>
    </w:rPr>
  </w:style>
  <w:style w:type="paragraph" w:customStyle="1" w:styleId="MDPI61Citation">
    <w:name w:val="MDPI_6.1_Citation"/>
    <w:qFormat/>
    <w:rsid w:val="00FB30C8"/>
    <w:pPr>
      <w:adjustRightInd w:val="0"/>
      <w:snapToGrid w:val="0"/>
      <w:spacing w:after="0" w:line="240" w:lineRule="atLeast"/>
      <w:ind w:right="113"/>
    </w:pPr>
    <w:rPr>
      <w:rFonts w:ascii="Palatino Linotype" w:eastAsia="宋体" w:hAnsi="Palatino Linotype" w:cs="Cordia New"/>
      <w:kern w:val="2"/>
      <w:sz w:val="14"/>
      <w:lang w:eastAsia="zh-CN"/>
    </w:rPr>
  </w:style>
  <w:style w:type="paragraph" w:customStyle="1" w:styleId="MDPI15academiceditor">
    <w:name w:val="MDPI_1.5_academic_editor"/>
    <w:qFormat/>
    <w:rsid w:val="00FB30C8"/>
    <w:pPr>
      <w:adjustRightInd w:val="0"/>
      <w:snapToGrid w:val="0"/>
      <w:spacing w:before="120" w:after="0" w:line="240" w:lineRule="atLeast"/>
      <w:ind w:right="113"/>
    </w:pPr>
    <w:rPr>
      <w:rFonts w:ascii="Palatino Linotype" w:eastAsia="Times New Roman" w:hAnsi="Palatino Linotype" w:cs="Times New Roman"/>
      <w:color w:val="000000"/>
      <w:kern w:val="2"/>
      <w:sz w:val="14"/>
      <w:lang w:eastAsia="de-DE" w:bidi="en-US"/>
    </w:rPr>
  </w:style>
  <w:style w:type="paragraph" w:customStyle="1" w:styleId="MDPI72Copyright">
    <w:name w:val="MDPI_7.2_Copyright"/>
    <w:qFormat/>
    <w:rsid w:val="00FB30C8"/>
    <w:pPr>
      <w:adjustRightInd w:val="0"/>
      <w:snapToGrid w:val="0"/>
      <w:spacing w:before="60" w:after="0" w:line="240" w:lineRule="atLeast"/>
      <w:ind w:right="113"/>
      <w:jc w:val="both"/>
    </w:pPr>
    <w:rPr>
      <w:rFonts w:ascii="Palatino Linotype" w:eastAsia="Times New Roman" w:hAnsi="Palatino Linotype" w:cs="Times New Roman"/>
      <w:noProof/>
      <w:snapToGrid w:val="0"/>
      <w:color w:val="000000"/>
      <w:sz w:val="14"/>
      <w:szCs w:val="20"/>
      <w:lang w:val="en-GB" w:eastAsia="en-GB"/>
    </w:rPr>
  </w:style>
  <w:style w:type="table" w:customStyle="1" w:styleId="MDPITable">
    <w:name w:val="MDPI_Table"/>
    <w:basedOn w:val="TableNormal"/>
    <w:uiPriority w:val="99"/>
    <w:rsid w:val="00FB30C8"/>
    <w:pPr>
      <w:spacing w:after="0" w:line="240" w:lineRule="auto"/>
    </w:pPr>
    <w:rPr>
      <w:rFonts w:ascii="Palatino Linotype" w:eastAsia="宋体" w:hAnsi="Palatino Linotype" w:cs="Times New Roman"/>
      <w:color w:val="000000" w:themeColor="text1"/>
      <w:kern w:val="2"/>
      <w:sz w:val="20"/>
      <w:szCs w:val="20"/>
      <w:lang w:val="en-CA" w:eastAsia="zh-CN"/>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83405">
      <w:bodyDiv w:val="1"/>
      <w:marLeft w:val="0"/>
      <w:marRight w:val="0"/>
      <w:marTop w:val="0"/>
      <w:marBottom w:val="0"/>
      <w:divBdr>
        <w:top w:val="none" w:sz="0" w:space="0" w:color="auto"/>
        <w:left w:val="none" w:sz="0" w:space="0" w:color="auto"/>
        <w:bottom w:val="none" w:sz="0" w:space="0" w:color="auto"/>
        <w:right w:val="none" w:sz="0" w:space="0" w:color="auto"/>
      </w:divBdr>
    </w:div>
    <w:div w:id="82709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4</Pages>
  <Words>594</Words>
  <Characters>3387</Characters>
  <Application>Microsoft Office Word</Application>
  <DocSecurity>0</DocSecurity>
  <Lines>28</Lines>
  <Paragraphs>7</Paragraphs>
  <ScaleCrop>false</ScaleCrop>
  <Company>Microsoft (C)</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MDPI</cp:lastModifiedBy>
  <cp:revision>18</cp:revision>
  <dcterms:created xsi:type="dcterms:W3CDTF">2023-08-06T21:27:00Z</dcterms:created>
  <dcterms:modified xsi:type="dcterms:W3CDTF">2023-08-30T05:12:00Z</dcterms:modified>
</cp:coreProperties>
</file>