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4A3C" w14:textId="10D2384B" w:rsidR="00AA18E3" w:rsidRDefault="00455BD9" w:rsidP="00455BD9">
      <w:pPr>
        <w:jc w:val="both"/>
        <w:rPr>
          <w:rFonts w:ascii="Times New Roman" w:hAnsi="Times New Roman" w:cs="Times New Roman"/>
          <w:sz w:val="24"/>
          <w:szCs w:val="24"/>
        </w:rPr>
      </w:pPr>
      <w:r w:rsidRPr="00455BD9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740EBD">
        <w:rPr>
          <w:rFonts w:ascii="Times New Roman" w:hAnsi="Times New Roman" w:cs="Times New Roman"/>
          <w:b/>
          <w:sz w:val="24"/>
          <w:szCs w:val="24"/>
        </w:rPr>
        <w:t>S</w:t>
      </w:r>
      <w:r w:rsidRPr="00455BD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42A" w:rsidRPr="0068442A">
        <w:rPr>
          <w:rFonts w:ascii="Times New Roman" w:hAnsi="Times New Roman" w:cs="Times New Roman"/>
          <w:sz w:val="24"/>
          <w:szCs w:val="24"/>
        </w:rPr>
        <w:t xml:space="preserve">Comparative profile of </w:t>
      </w:r>
      <w:r w:rsidR="00386DEA">
        <w:rPr>
          <w:rFonts w:ascii="Times New Roman" w:hAnsi="Times New Roman" w:cs="Times New Roman"/>
          <w:sz w:val="24"/>
          <w:szCs w:val="24"/>
        </w:rPr>
        <w:t>a</w:t>
      </w:r>
      <w:r w:rsidR="0068442A" w:rsidRPr="0068442A">
        <w:rPr>
          <w:rFonts w:ascii="Times New Roman" w:hAnsi="Times New Roman" w:cs="Times New Roman"/>
          <w:sz w:val="24"/>
          <w:szCs w:val="24"/>
        </w:rPr>
        <w:t xml:space="preserve">ntioxidant capacity of </w:t>
      </w:r>
      <w:r w:rsidR="00386DEA">
        <w:rPr>
          <w:rFonts w:ascii="Times New Roman" w:hAnsi="Times New Roman" w:cs="Times New Roman"/>
          <w:sz w:val="24"/>
          <w:szCs w:val="24"/>
        </w:rPr>
        <w:t>b</w:t>
      </w:r>
      <w:r w:rsidR="0068442A" w:rsidRPr="0068442A">
        <w:rPr>
          <w:rFonts w:ascii="Times New Roman" w:hAnsi="Times New Roman" w:cs="Times New Roman"/>
          <w:sz w:val="24"/>
          <w:szCs w:val="24"/>
        </w:rPr>
        <w:t>reast and thigh meat among Cobb broiler and Jabalpur color chicken.</w:t>
      </w:r>
    </w:p>
    <w:p w14:paraId="7E88D85A" w14:textId="77777777" w:rsidR="0068442A" w:rsidRPr="00455BD9" w:rsidRDefault="0068442A" w:rsidP="00455BD9">
      <w:pPr>
        <w:jc w:val="both"/>
        <w:rPr>
          <w:rFonts w:ascii="Times New Roman" w:hAnsi="Times New Roman" w:cs="Times New Roman"/>
          <w:sz w:val="24"/>
          <w:szCs w:val="24"/>
        </w:rPr>
      </w:pPr>
      <w:r w:rsidRPr="0068442A">
        <w:rPr>
          <w:rFonts w:ascii="Times New Roman" w:hAnsi="Times New Roman" w:cs="Times New Roman"/>
          <w:sz w:val="24"/>
          <w:szCs w:val="24"/>
        </w:rPr>
        <w:t>Values are mean ± SE (n = 20). Values are mean ± SE (n = 20). *Significant (p ≤ 0.05) difference within a column (Cobb and JBC) and # within a row (Breast and thigh).</w:t>
      </w:r>
    </w:p>
    <w:p w14:paraId="62E0FEF0" w14:textId="77777777" w:rsidR="00CE5423" w:rsidRPr="0068442A" w:rsidRDefault="00CE5423" w:rsidP="0068442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68442A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>ABTS (2,2′-azinobis-3- ethylbenzothiazoline-6-sulfonic acid) radical scavenging assay</w:t>
      </w:r>
    </w:p>
    <w:tbl>
      <w:tblPr>
        <w:tblW w:w="10349" w:type="dxa"/>
        <w:tblInd w:w="93" w:type="dxa"/>
        <w:tblLook w:val="04A0" w:firstRow="1" w:lastRow="0" w:firstColumn="1" w:lastColumn="0" w:noHBand="0" w:noVBand="1"/>
      </w:tblPr>
      <w:tblGrid>
        <w:gridCol w:w="1725"/>
        <w:gridCol w:w="1557"/>
        <w:gridCol w:w="1471"/>
        <w:gridCol w:w="2451"/>
        <w:gridCol w:w="3145"/>
      </w:tblGrid>
      <w:tr w:rsidR="0068442A" w:rsidRPr="0068442A" w14:paraId="77C1D431" w14:textId="77777777" w:rsidTr="008450F7">
        <w:trPr>
          <w:trHeight w:val="312"/>
        </w:trPr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11BF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BAF0AD" w14:textId="77777777" w:rsidR="0068442A" w:rsidRPr="0068442A" w:rsidRDefault="0068442A" w:rsidP="004A09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ABTS</w:t>
            </w:r>
          </w:p>
        </w:tc>
        <w:tc>
          <w:tcPr>
            <w:tcW w:w="5596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B01927" w14:textId="77777777" w:rsidR="0068442A" w:rsidRPr="0068442A" w:rsidRDefault="0068442A" w:rsidP="004A09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TEABTS</w:t>
            </w:r>
          </w:p>
        </w:tc>
      </w:tr>
      <w:tr w:rsidR="0068442A" w:rsidRPr="0068442A" w14:paraId="58FA7A0E" w14:textId="77777777" w:rsidTr="008450F7">
        <w:trPr>
          <w:trHeight w:val="327"/>
        </w:trPr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652A3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CD145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(% Inhibition)</w:t>
            </w:r>
          </w:p>
        </w:tc>
        <w:tc>
          <w:tcPr>
            <w:tcW w:w="559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29211" w14:textId="77777777" w:rsidR="0068442A" w:rsidRPr="0068442A" w:rsidRDefault="0068442A" w:rsidP="008450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(TE µM/g of tissue)</w:t>
            </w:r>
          </w:p>
        </w:tc>
      </w:tr>
      <w:tr w:rsidR="0068442A" w:rsidRPr="0068442A" w14:paraId="5CE87A21" w14:textId="77777777" w:rsidTr="008450F7">
        <w:trPr>
          <w:trHeight w:val="327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949D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03C13B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18F0BD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D869A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B556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7186ED57" w14:textId="77777777" w:rsidTr="008450F7">
        <w:trPr>
          <w:trHeight w:val="372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A22DC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Broiler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C36424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43.78±1.47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E5970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29.62±1.27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02BE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6062.5±257.31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2265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3737.5±210.32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  <w:tr w:rsidR="0068442A" w:rsidRPr="0068442A" w14:paraId="7546364E" w14:textId="77777777" w:rsidTr="008450F7">
        <w:trPr>
          <w:trHeight w:val="372"/>
        </w:trPr>
        <w:tc>
          <w:tcPr>
            <w:tcW w:w="17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C12D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7BEC91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52.12±1.36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F596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28.48±1.06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86BA3C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7375±210.65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3718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3550±175.46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</w:tbl>
    <w:p w14:paraId="219E4360" w14:textId="77777777" w:rsidR="0068442A" w:rsidRDefault="0068442A" w:rsidP="0068442A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</w:p>
    <w:p w14:paraId="4F8B8939" w14:textId="77777777" w:rsidR="0068442A" w:rsidRPr="0068442A" w:rsidRDefault="0068442A" w:rsidP="0068442A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</w:p>
    <w:p w14:paraId="371C3742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>2.      DPPH (1,1-diphenyl-2-picrylhydrazyl) radical scavenging assay</w:t>
      </w:r>
    </w:p>
    <w:p w14:paraId="5080B9DD" w14:textId="77777777" w:rsidR="00CE5423" w:rsidRDefault="00CE5423"/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1900"/>
        <w:gridCol w:w="2640"/>
        <w:gridCol w:w="2940"/>
      </w:tblGrid>
      <w:tr w:rsidR="0068442A" w:rsidRPr="0068442A" w14:paraId="1B35EF5E" w14:textId="77777777" w:rsidTr="0068442A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739C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20C07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Breast 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3829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58132C04" w14:textId="77777777" w:rsidTr="0068442A">
        <w:trPr>
          <w:trHeight w:val="330"/>
        </w:trPr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C9D1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92B70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(% Inhibition)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421D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(% Inhibition)</w:t>
            </w:r>
          </w:p>
        </w:tc>
      </w:tr>
      <w:tr w:rsidR="0068442A" w:rsidRPr="0068442A" w14:paraId="45F02B4F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C796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  Broiler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1A7076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70.56±0.59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592514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63.46±0.56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  <w:tr w:rsidR="0068442A" w:rsidRPr="0068442A" w14:paraId="1BF7E729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A54A3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DAA0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73.92±0.44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8002C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67.26±0.63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</w:tr>
    </w:tbl>
    <w:p w14:paraId="106BD967" w14:textId="77777777" w:rsidR="0068442A" w:rsidRDefault="0068442A"/>
    <w:p w14:paraId="147FFF2A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 xml:space="preserve">3.     FRAP (Ferric reducing antioxidant power) </w:t>
      </w:r>
    </w:p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1900"/>
        <w:gridCol w:w="2640"/>
        <w:gridCol w:w="2940"/>
      </w:tblGrid>
      <w:tr w:rsidR="0068442A" w:rsidRPr="0068442A" w14:paraId="439C6E73" w14:textId="77777777" w:rsidTr="0068442A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6CB15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DB601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Breast 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015EB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707EF5D5" w14:textId="77777777" w:rsidTr="0068442A">
        <w:trPr>
          <w:trHeight w:val="375"/>
        </w:trPr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5F9E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21C9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(mM Fe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2+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/g of tissue)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FB3BC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(mM Fe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2+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/g of tissue)</w:t>
            </w:r>
          </w:p>
        </w:tc>
      </w:tr>
      <w:tr w:rsidR="0068442A" w:rsidRPr="0068442A" w14:paraId="7517E38D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A9D19B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  Broiler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B106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15.24±0.40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2461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19.20±0.31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  <w:tr w:rsidR="0068442A" w:rsidRPr="0068442A" w14:paraId="7B3AA722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19A73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0EFBED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22.84±0.25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E39E40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26.82±0.36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</w:tr>
    </w:tbl>
    <w:p w14:paraId="142AB1CD" w14:textId="77777777" w:rsidR="00CE5423" w:rsidRDefault="00CE5423"/>
    <w:p w14:paraId="44F3AF0F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>4.      CUPRAC (Cupric reducing antioxidative capacity) assay</w:t>
      </w:r>
    </w:p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1900"/>
        <w:gridCol w:w="2640"/>
        <w:gridCol w:w="2940"/>
      </w:tblGrid>
      <w:tr w:rsidR="0068442A" w:rsidRPr="0068442A" w14:paraId="6FA90560" w14:textId="77777777" w:rsidTr="0068442A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FA50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BA911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5D559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758073B7" w14:textId="77777777" w:rsidTr="0068442A">
        <w:trPr>
          <w:trHeight w:val="645"/>
        </w:trPr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40225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7173BD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(Trolox equivalent (TE ) mM/g of tissue)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1EC3B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(Trolox equivalent (TE ) mM/g of tissue)</w:t>
            </w:r>
          </w:p>
        </w:tc>
      </w:tr>
      <w:tr w:rsidR="0068442A" w:rsidRPr="0068442A" w14:paraId="4FED0894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41CF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  Broiler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38996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9.0±0.24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62FF67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7.16±0.25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a#</w:t>
            </w:r>
          </w:p>
        </w:tc>
      </w:tr>
      <w:tr w:rsidR="0068442A" w:rsidRPr="0068442A" w14:paraId="59DA1043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6F00D6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0013C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12.71±0.32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BC3F6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7.49±0.30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</w:tbl>
    <w:p w14:paraId="1DAEC81D" w14:textId="77777777" w:rsidR="00CE5423" w:rsidRDefault="00CE5423"/>
    <w:p w14:paraId="553FB7FB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>5.      ORAC (Oxygen radical absorption capacity) assay</w:t>
      </w:r>
    </w:p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1900"/>
        <w:gridCol w:w="2640"/>
        <w:gridCol w:w="2940"/>
      </w:tblGrid>
      <w:tr w:rsidR="0068442A" w:rsidRPr="0068442A" w14:paraId="03F010C8" w14:textId="77777777" w:rsidTr="0068442A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201E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90066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Breast 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53B267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52313D2B" w14:textId="77777777" w:rsidTr="0068442A">
        <w:trPr>
          <w:trHeight w:val="330"/>
        </w:trPr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089C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721E7D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(TE µM/g of tissue)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865AB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(TE µM/g of tissue)</w:t>
            </w:r>
          </w:p>
        </w:tc>
      </w:tr>
      <w:tr w:rsidR="0068442A" w:rsidRPr="0068442A" w14:paraId="3DC66A9B" w14:textId="77777777" w:rsidTr="0068442A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471C3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  Broiler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293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748.56±7.48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72377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762.82±9.19</w:t>
            </w:r>
          </w:p>
        </w:tc>
      </w:tr>
      <w:tr w:rsidR="0068442A" w:rsidRPr="0068442A" w14:paraId="0B0F9399" w14:textId="77777777" w:rsidTr="0068442A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493B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5059D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765.82±9.48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5425B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785.95±6.40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</w:tr>
    </w:tbl>
    <w:p w14:paraId="6F9E15B1" w14:textId="77777777" w:rsidR="00CE5423" w:rsidRDefault="00CE5423"/>
    <w:p w14:paraId="1EB32196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>6. Metal Chelation Activity</w:t>
      </w:r>
    </w:p>
    <w:tbl>
      <w:tblPr>
        <w:tblW w:w="10710" w:type="dxa"/>
        <w:tblInd w:w="93" w:type="dxa"/>
        <w:tblLook w:val="04A0" w:firstRow="1" w:lastRow="0" w:firstColumn="1" w:lastColumn="0" w:noHBand="0" w:noVBand="1"/>
      </w:tblPr>
      <w:tblGrid>
        <w:gridCol w:w="1064"/>
        <w:gridCol w:w="1309"/>
        <w:gridCol w:w="1508"/>
        <w:gridCol w:w="1875"/>
        <w:gridCol w:w="1873"/>
        <w:gridCol w:w="1510"/>
        <w:gridCol w:w="1630"/>
      </w:tblGrid>
      <w:tr w:rsidR="0068442A" w:rsidRPr="0068442A" w14:paraId="1D599DD3" w14:textId="77777777" w:rsidTr="004A09CE">
        <w:trPr>
          <w:trHeight w:val="312"/>
        </w:trPr>
        <w:tc>
          <w:tcPr>
            <w:tcW w:w="12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1C3BC0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4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B2D20CC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Metal Chelation Activity</w:t>
            </w:r>
          </w:p>
        </w:tc>
        <w:tc>
          <w:tcPr>
            <w:tcW w:w="2876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50091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EDTA Equivalent activity</w:t>
            </w:r>
          </w:p>
        </w:tc>
        <w:tc>
          <w:tcPr>
            <w:tcW w:w="419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79FFDE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Carnosine equivalent activity</w:t>
            </w:r>
          </w:p>
        </w:tc>
      </w:tr>
      <w:tr w:rsidR="0068442A" w:rsidRPr="0068442A" w14:paraId="09E1A884" w14:textId="77777777" w:rsidTr="004A09CE">
        <w:trPr>
          <w:trHeight w:val="327"/>
        </w:trPr>
        <w:tc>
          <w:tcPr>
            <w:tcW w:w="12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867A6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7CF410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(% Inhibition)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AC02D2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(EEA µM/g of tissue)</w:t>
            </w:r>
          </w:p>
        </w:tc>
        <w:tc>
          <w:tcPr>
            <w:tcW w:w="41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F5198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(mM/g of tissue)</w:t>
            </w:r>
          </w:p>
        </w:tc>
      </w:tr>
      <w:tr w:rsidR="0068442A" w:rsidRPr="0068442A" w14:paraId="7015809F" w14:textId="77777777" w:rsidTr="004A09CE">
        <w:trPr>
          <w:trHeight w:val="327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0A7A37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F548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B13B0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F33F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922DC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CB1821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698B6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68442A" w:rsidRPr="0068442A" w14:paraId="64E6BF84" w14:textId="77777777" w:rsidTr="004A09CE">
        <w:trPr>
          <w:trHeight w:val="372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F4594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Broiler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2135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53.63±1.79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7DF2C9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80.75±0.95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7E99A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2819.29±85.84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997F5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4117.96±45.60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751C4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148.63±4.34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8BC26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214.26±2.30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</w:tr>
      <w:tr w:rsidR="0068442A" w:rsidRPr="0068442A" w14:paraId="6A91D693" w14:textId="77777777" w:rsidTr="004A09CE">
        <w:trPr>
          <w:trHeight w:val="372"/>
        </w:trPr>
        <w:tc>
          <w:tcPr>
            <w:tcW w:w="12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4E1043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27DA1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46.3±2.36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A7888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63.13±1.87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EF197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2468.22±112.81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67152F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3273.85±89.61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47210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130.89±5.70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875F4" w14:textId="77777777" w:rsidR="0068442A" w:rsidRPr="0068442A" w:rsidRDefault="0068442A" w:rsidP="006844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171.60±4.53</w:t>
            </w:r>
            <w:r w:rsidRPr="0068442A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*,#</w:t>
            </w:r>
          </w:p>
        </w:tc>
      </w:tr>
    </w:tbl>
    <w:p w14:paraId="77E1A36F" w14:textId="77777777" w:rsidR="00CE5423" w:rsidRDefault="00CE5423"/>
    <w:p w14:paraId="2647D7F4" w14:textId="77777777" w:rsidR="00CE5423" w:rsidRPr="00CE5423" w:rsidRDefault="00CE5423" w:rsidP="00CE5423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</w:pPr>
      <w:r w:rsidRPr="00CE5423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 xml:space="preserve">7.      Superoxide dismutase activity </w:t>
      </w:r>
    </w:p>
    <w:tbl>
      <w:tblPr>
        <w:tblW w:w="7480" w:type="dxa"/>
        <w:tblInd w:w="93" w:type="dxa"/>
        <w:tblLook w:val="04A0" w:firstRow="1" w:lastRow="0" w:firstColumn="1" w:lastColumn="0" w:noHBand="0" w:noVBand="1"/>
      </w:tblPr>
      <w:tblGrid>
        <w:gridCol w:w="1900"/>
        <w:gridCol w:w="2640"/>
        <w:gridCol w:w="2940"/>
      </w:tblGrid>
      <w:tr w:rsidR="00B563B4" w:rsidRPr="00B563B4" w14:paraId="61492C91" w14:textId="77777777" w:rsidTr="00B563B4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48495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CF12E8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Breast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1532C2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Thigh</w:t>
            </w:r>
          </w:p>
        </w:tc>
      </w:tr>
      <w:tr w:rsidR="00B563B4" w:rsidRPr="00B563B4" w14:paraId="3033FA6B" w14:textId="77777777" w:rsidTr="00B563B4">
        <w:trPr>
          <w:trHeight w:val="330"/>
        </w:trPr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3FACB0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D0B8FF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(% Inhibition)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5FF67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(% Inhibition)</w:t>
            </w:r>
          </w:p>
        </w:tc>
      </w:tr>
      <w:tr w:rsidR="00B563B4" w:rsidRPr="00B563B4" w14:paraId="1CC5BF66" w14:textId="77777777" w:rsidTr="00B563B4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1AB934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Cobb   Broiler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FF407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93.16±1.07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19F37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89.50±1.34</w:t>
            </w: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#</w:t>
            </w:r>
          </w:p>
        </w:tc>
      </w:tr>
      <w:tr w:rsidR="00B563B4" w:rsidRPr="00B563B4" w14:paraId="32328918" w14:textId="77777777" w:rsidTr="00B563B4">
        <w:trPr>
          <w:trHeight w:val="375"/>
        </w:trPr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4C6B4B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Jabalpur Color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D01C6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95.84±0.93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F9E77C" w14:textId="77777777" w:rsidR="00B563B4" w:rsidRPr="00B563B4" w:rsidRDefault="00B563B4" w:rsidP="00B563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93.69±1.32</w:t>
            </w:r>
            <w:r w:rsidRPr="00B563B4">
              <w:rPr>
                <w:rFonts w:ascii="Calibri" w:eastAsia="Times New Roman" w:hAnsi="Calibri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</w:tr>
    </w:tbl>
    <w:p w14:paraId="57C219BC" w14:textId="77777777" w:rsidR="008450F7" w:rsidRDefault="008450F7" w:rsidP="00B563B4"/>
    <w:p w14:paraId="4C622E18" w14:textId="6BC64978" w:rsidR="008F483C" w:rsidRDefault="008450F7" w:rsidP="008F483C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="008F483C" w:rsidRPr="008F48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Figure </w:t>
      </w:r>
      <w:r w:rsidR="00740EBD">
        <w:rPr>
          <w:rFonts w:ascii="Times New Roman" w:hAnsi="Times New Roman" w:cs="Times New Roman"/>
          <w:b/>
          <w:sz w:val="24"/>
          <w:szCs w:val="24"/>
        </w:rPr>
        <w:t>S</w:t>
      </w:r>
      <w:r w:rsidR="008F483C" w:rsidRPr="008F483C">
        <w:rPr>
          <w:rFonts w:ascii="Times New Roman" w:hAnsi="Times New Roman" w:cs="Times New Roman"/>
          <w:b/>
          <w:sz w:val="24"/>
          <w:szCs w:val="24"/>
        </w:rPr>
        <w:t>1.</w:t>
      </w:r>
      <w:r w:rsidR="008F483C" w:rsidRPr="008F483C">
        <w:rPr>
          <w:rFonts w:ascii="Times New Roman" w:hAnsi="Times New Roman" w:cs="Times New Roman"/>
          <w:sz w:val="24"/>
          <w:szCs w:val="24"/>
        </w:rPr>
        <w:t xml:space="preserve"> Carnosine, anserine, and creatine concentrations of breast and thigh meat. Bars represent mean ± standard error (n = 20). High-performance liquid chromatography (HPLC) linearity range and regression </w:t>
      </w:r>
    </w:p>
    <w:p w14:paraId="6D8F1EAA" w14:textId="77777777" w:rsidR="002E62E5" w:rsidRDefault="002E62E5" w:rsidP="008F48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B977E1" wp14:editId="6038CB87">
            <wp:extent cx="5943600" cy="4457700"/>
            <wp:effectExtent l="19050" t="0" r="0" b="0"/>
            <wp:docPr id="9" name="Picture 1" descr="E:\April 2019 onwards\Research Projects\Kadaknath project\Paper writing\Publication_JC_2023\Submission Foods\Final_submission\Revision 1\Figures revised\Figures revised.jpg\Supplementary Fi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pril 2019 onwards\Research Projects\Kadaknath project\Paper writing\Publication_JC_2023\Submission Foods\Final_submission\Revision 1\Figures revised\Figures revised.jpg\Supplementary Fig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858B2" w14:textId="77777777" w:rsidR="008F483C" w:rsidRDefault="008F483C" w:rsidP="008F4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F5EBC" w14:textId="77777777" w:rsidR="008F483C" w:rsidRDefault="008F483C" w:rsidP="008F48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32235F" w14:textId="77777777" w:rsidR="008450F7" w:rsidRPr="008F483C" w:rsidRDefault="008450F7" w:rsidP="008F483C">
      <w:pPr>
        <w:jc w:val="both"/>
        <w:rPr>
          <w:rFonts w:ascii="Times New Roman" w:hAnsi="Times New Roman" w:cs="Times New Roman"/>
          <w:sz w:val="24"/>
          <w:szCs w:val="24"/>
        </w:rPr>
      </w:pPr>
      <w:r w:rsidRPr="008F483C">
        <w:rPr>
          <w:rFonts w:ascii="Times New Roman" w:hAnsi="Times New Roman" w:cs="Times New Roman"/>
          <w:sz w:val="24"/>
          <w:szCs w:val="24"/>
        </w:rPr>
        <w:br w:type="page"/>
      </w:r>
    </w:p>
    <w:p w14:paraId="5E83BB84" w14:textId="77777777" w:rsidR="008450F7" w:rsidRPr="00BE626E" w:rsidRDefault="008450F7" w:rsidP="008450F7">
      <w:pPr>
        <w:rPr>
          <w:rFonts w:ascii="Times New Roman" w:hAnsi="Times New Roman" w:cs="Times New Roman"/>
          <w:b/>
          <w:sz w:val="24"/>
          <w:szCs w:val="24"/>
        </w:rPr>
      </w:pPr>
      <w:r w:rsidRPr="00BE62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Standard curves </w:t>
      </w:r>
      <w:r w:rsidR="006031E4">
        <w:rPr>
          <w:rFonts w:ascii="Times New Roman" w:hAnsi="Times New Roman" w:cs="Times New Roman"/>
          <w:b/>
          <w:sz w:val="24"/>
          <w:szCs w:val="24"/>
        </w:rPr>
        <w:t>of</w:t>
      </w:r>
      <w:r w:rsidRPr="00BE626E">
        <w:rPr>
          <w:rFonts w:ascii="Times New Roman" w:hAnsi="Times New Roman" w:cs="Times New Roman"/>
          <w:b/>
          <w:sz w:val="24"/>
          <w:szCs w:val="24"/>
        </w:rPr>
        <w:t xml:space="preserve"> various Antioxidant capacity assays (</w:t>
      </w:r>
      <w:r w:rsidRPr="00BE626E">
        <w:rPr>
          <w:rFonts w:ascii="Times New Roman" w:hAnsi="Times New Roman" w:cs="Times New Roman"/>
          <w:b/>
          <w:i/>
          <w:sz w:val="24"/>
          <w:szCs w:val="24"/>
        </w:rPr>
        <w:t>In vitro</w:t>
      </w:r>
      <w:r w:rsidRPr="00BE626E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7712" w:type="dxa"/>
        <w:tblInd w:w="108" w:type="dxa"/>
        <w:tblLook w:val="04A0" w:firstRow="1" w:lastRow="0" w:firstColumn="1" w:lastColumn="0" w:noHBand="0" w:noVBand="1"/>
      </w:tblPr>
      <w:tblGrid>
        <w:gridCol w:w="976"/>
        <w:gridCol w:w="6736"/>
      </w:tblGrid>
      <w:tr w:rsidR="008450F7" w:rsidRPr="00BE626E" w14:paraId="0F69FE2E" w14:textId="77777777" w:rsidTr="00143752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BDA625" w14:textId="77777777" w:rsidR="008450F7" w:rsidRPr="00BE626E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E626E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9BC88F" w14:textId="77777777" w:rsidR="008450F7" w:rsidRPr="00BE626E" w:rsidRDefault="008450F7" w:rsidP="00143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2,2′-azinobis-3- ethylbenzothiazoline-6-sulfonic acid (ABTS) assay</w:t>
            </w:r>
          </w:p>
        </w:tc>
      </w:tr>
    </w:tbl>
    <w:p w14:paraId="7048D139" w14:textId="77777777" w:rsidR="008450F7" w:rsidRDefault="008450F7" w:rsidP="008450F7"/>
    <w:p w14:paraId="348F5F7C" w14:textId="77777777" w:rsidR="008450F7" w:rsidRDefault="008450F7" w:rsidP="008450F7">
      <w:r>
        <w:rPr>
          <w:noProof/>
        </w:rPr>
        <w:drawing>
          <wp:inline distT="0" distB="0" distL="0" distR="0" wp14:anchorId="7DE4DD3F" wp14:editId="5008A69B">
            <wp:extent cx="4572000" cy="275272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B4EE18C" w14:textId="77777777" w:rsidR="008450F7" w:rsidRDefault="008450F7" w:rsidP="008450F7"/>
    <w:p w14:paraId="1C2FBF55" w14:textId="77777777" w:rsidR="008450F7" w:rsidRDefault="008450F7" w:rsidP="008450F7">
      <w:r>
        <w:rPr>
          <w:noProof/>
        </w:rPr>
        <w:drawing>
          <wp:inline distT="0" distB="0" distL="0" distR="0" wp14:anchorId="76EC77B9" wp14:editId="68B9F83B">
            <wp:extent cx="4572000" cy="27432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ECBE2F0" w14:textId="77777777" w:rsidR="008450F7" w:rsidRDefault="008450F7" w:rsidP="008450F7">
      <w:r>
        <w:br w:type="page"/>
      </w:r>
    </w:p>
    <w:tbl>
      <w:tblPr>
        <w:tblW w:w="5792" w:type="dxa"/>
        <w:tblInd w:w="108" w:type="dxa"/>
        <w:tblLook w:val="04A0" w:firstRow="1" w:lastRow="0" w:firstColumn="1" w:lastColumn="0" w:noHBand="0" w:noVBand="1"/>
      </w:tblPr>
      <w:tblGrid>
        <w:gridCol w:w="976"/>
        <w:gridCol w:w="4816"/>
      </w:tblGrid>
      <w:tr w:rsidR="008450F7" w:rsidRPr="00847A54" w14:paraId="634F5E4B" w14:textId="77777777" w:rsidTr="00143752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CE00D5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02B7BB" w14:textId="77777777" w:rsidR="008450F7" w:rsidRPr="00847A54" w:rsidRDefault="008450F7" w:rsidP="00143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1,1-diphenyl-2-picrylhydrazyl (DPPH) assay </w:t>
            </w:r>
          </w:p>
        </w:tc>
      </w:tr>
    </w:tbl>
    <w:p w14:paraId="76E14985" w14:textId="77777777" w:rsidR="008450F7" w:rsidRDefault="008450F7" w:rsidP="008450F7"/>
    <w:p w14:paraId="3BCE7132" w14:textId="77777777" w:rsidR="008450F7" w:rsidRDefault="008450F7" w:rsidP="008450F7">
      <w:r w:rsidRPr="00847A54">
        <w:rPr>
          <w:noProof/>
        </w:rPr>
        <w:drawing>
          <wp:inline distT="0" distB="0" distL="0" distR="0" wp14:anchorId="4174CB5F" wp14:editId="38AAD07B">
            <wp:extent cx="4572000" cy="27432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7290" w:type="dxa"/>
        <w:tblInd w:w="108" w:type="dxa"/>
        <w:tblLook w:val="04A0" w:firstRow="1" w:lastRow="0" w:firstColumn="1" w:lastColumn="0" w:noHBand="0" w:noVBand="1"/>
      </w:tblPr>
      <w:tblGrid>
        <w:gridCol w:w="976"/>
        <w:gridCol w:w="6314"/>
      </w:tblGrid>
      <w:tr w:rsidR="008450F7" w:rsidRPr="00847A54" w14:paraId="57D6AF10" w14:textId="77777777" w:rsidTr="00143752">
        <w:trPr>
          <w:trHeight w:val="31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D96AFF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EA9EB1" w14:textId="77777777" w:rsidR="008450F7" w:rsidRPr="00847A54" w:rsidRDefault="008450F7" w:rsidP="001437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7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Ferric reducing antioxidant power (FRAP) assay</w:t>
            </w:r>
          </w:p>
        </w:tc>
      </w:tr>
    </w:tbl>
    <w:p w14:paraId="6206CC95" w14:textId="77777777" w:rsidR="008450F7" w:rsidRDefault="008450F7" w:rsidP="008450F7"/>
    <w:p w14:paraId="39E34CD1" w14:textId="77777777" w:rsidR="008450F7" w:rsidRDefault="008450F7" w:rsidP="008450F7">
      <w:r w:rsidRPr="00847A54">
        <w:rPr>
          <w:noProof/>
        </w:rPr>
        <w:drawing>
          <wp:inline distT="0" distB="0" distL="0" distR="0" wp14:anchorId="0C0CD7C7" wp14:editId="63BE9FA5">
            <wp:extent cx="4572000" cy="27432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06BBD9" w14:textId="77777777" w:rsidR="008450F7" w:rsidRDefault="008450F7" w:rsidP="008450F7"/>
    <w:p w14:paraId="7D61706F" w14:textId="77777777" w:rsidR="008450F7" w:rsidRDefault="008450F7" w:rsidP="008450F7"/>
    <w:p w14:paraId="1E235527" w14:textId="77777777" w:rsidR="008450F7" w:rsidRDefault="008450F7" w:rsidP="008450F7"/>
    <w:p w14:paraId="4C867256" w14:textId="77777777" w:rsidR="008450F7" w:rsidRDefault="008450F7" w:rsidP="008450F7"/>
    <w:tbl>
      <w:tblPr>
        <w:tblW w:w="6752" w:type="dxa"/>
        <w:tblInd w:w="108" w:type="dxa"/>
        <w:tblLook w:val="04A0" w:firstRow="1" w:lastRow="0" w:firstColumn="1" w:lastColumn="0" w:noHBand="0" w:noVBand="1"/>
      </w:tblPr>
      <w:tblGrid>
        <w:gridCol w:w="976"/>
        <w:gridCol w:w="5776"/>
      </w:tblGrid>
      <w:tr w:rsidR="008450F7" w:rsidRPr="00847A54" w14:paraId="1C55123C" w14:textId="77777777" w:rsidTr="00143752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CDD3DC8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lastRenderedPageBreak/>
              <w:t>4</w:t>
            </w:r>
          </w:p>
        </w:tc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981B1E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Cupric reducing antioxidative capacity (CUPRAC) assay</w:t>
            </w:r>
          </w:p>
        </w:tc>
      </w:tr>
    </w:tbl>
    <w:p w14:paraId="06A95474" w14:textId="77777777" w:rsidR="008450F7" w:rsidRDefault="008450F7" w:rsidP="008450F7"/>
    <w:p w14:paraId="291992A6" w14:textId="77777777" w:rsidR="008450F7" w:rsidRDefault="008450F7" w:rsidP="008450F7">
      <w:r w:rsidRPr="00847A54">
        <w:rPr>
          <w:noProof/>
        </w:rPr>
        <w:drawing>
          <wp:inline distT="0" distB="0" distL="0" distR="0" wp14:anchorId="22FF592E" wp14:editId="390D0431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W w:w="5792" w:type="dxa"/>
        <w:tblInd w:w="108" w:type="dxa"/>
        <w:tblLook w:val="04A0" w:firstRow="1" w:lastRow="0" w:firstColumn="1" w:lastColumn="0" w:noHBand="0" w:noVBand="1"/>
      </w:tblPr>
      <w:tblGrid>
        <w:gridCol w:w="976"/>
        <w:gridCol w:w="4816"/>
      </w:tblGrid>
      <w:tr w:rsidR="008450F7" w:rsidRPr="00847A54" w14:paraId="763188D3" w14:textId="77777777" w:rsidTr="00143752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1BC019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A55819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Oxygen radical absorption capacity (ORAC) assay</w:t>
            </w:r>
          </w:p>
        </w:tc>
      </w:tr>
    </w:tbl>
    <w:p w14:paraId="655B0D5F" w14:textId="77777777" w:rsidR="008450F7" w:rsidRDefault="008450F7" w:rsidP="008450F7"/>
    <w:p w14:paraId="711CE620" w14:textId="77777777" w:rsidR="008450F7" w:rsidRDefault="008450F7" w:rsidP="008450F7">
      <w:r w:rsidRPr="00847A54">
        <w:rPr>
          <w:noProof/>
        </w:rPr>
        <w:drawing>
          <wp:inline distT="0" distB="0" distL="0" distR="0" wp14:anchorId="43669468" wp14:editId="515833FF">
            <wp:extent cx="4838700" cy="27432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CB55A0C" w14:textId="77777777" w:rsidR="008450F7" w:rsidRDefault="008450F7" w:rsidP="008450F7"/>
    <w:p w14:paraId="544C8B73" w14:textId="77777777" w:rsidR="008450F7" w:rsidRDefault="008450F7" w:rsidP="008450F7"/>
    <w:p w14:paraId="178E95D1" w14:textId="77777777" w:rsidR="008450F7" w:rsidRDefault="008450F7" w:rsidP="008450F7"/>
    <w:p w14:paraId="54164100" w14:textId="77777777" w:rsidR="008450F7" w:rsidRDefault="008450F7" w:rsidP="008450F7"/>
    <w:tbl>
      <w:tblPr>
        <w:tblW w:w="8688" w:type="dxa"/>
        <w:tblInd w:w="108" w:type="dxa"/>
        <w:tblLook w:val="04A0" w:firstRow="1" w:lastRow="0" w:firstColumn="1" w:lastColumn="0" w:noHBand="0" w:noVBand="1"/>
      </w:tblPr>
      <w:tblGrid>
        <w:gridCol w:w="976"/>
        <w:gridCol w:w="2896"/>
        <w:gridCol w:w="4816"/>
      </w:tblGrid>
      <w:tr w:rsidR="008450F7" w:rsidRPr="00847A54" w14:paraId="1679EF24" w14:textId="77777777" w:rsidTr="00143752">
        <w:trPr>
          <w:trHeight w:val="3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14:paraId="74C8812D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lastRenderedPageBreak/>
              <w:t>6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14:paraId="4B1095EE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Metal chelating activity (MCA)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hideMark/>
          </w:tcPr>
          <w:p w14:paraId="5654AB98" w14:textId="77777777" w:rsidR="008450F7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MCA (%)= (Acontrol – Asample)/Acontrol x 100</w:t>
            </w:r>
          </w:p>
          <w:p w14:paraId="0947C1C9" w14:textId="77777777" w:rsidR="008450F7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47A54">
              <w:rPr>
                <w:rFonts w:ascii="Calibri" w:eastAsia="Times New Roman" w:hAnsi="Calibri" w:cs="Times New Roman"/>
                <w:color w:val="000000"/>
              </w:rPr>
              <w:t>A=Iron-ferrozine absorbance at 562 nm</w:t>
            </w:r>
          </w:p>
          <w:p w14:paraId="20E1EE26" w14:textId="77777777" w:rsidR="008450F7" w:rsidRPr="00847A54" w:rsidRDefault="008450F7" w:rsidP="001437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ED7E88E" w14:textId="77777777" w:rsidR="008450F7" w:rsidRDefault="008450F7" w:rsidP="008450F7"/>
    <w:p w14:paraId="1C017D6F" w14:textId="77777777" w:rsidR="008450F7" w:rsidRDefault="008450F7" w:rsidP="008450F7">
      <w:r w:rsidRPr="00847A54">
        <w:rPr>
          <w:noProof/>
        </w:rPr>
        <w:drawing>
          <wp:inline distT="0" distB="0" distL="0" distR="0" wp14:anchorId="3FCF8BCA" wp14:editId="1832892B">
            <wp:extent cx="4572000" cy="2743200"/>
            <wp:effectExtent l="19050" t="0" r="19050" b="0"/>
            <wp:docPr id="7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035C9BE" w14:textId="77777777" w:rsidR="008450F7" w:rsidRDefault="008450F7" w:rsidP="008450F7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14:paraId="2A893D44" w14:textId="77777777" w:rsidR="008450F7" w:rsidRDefault="008450F7" w:rsidP="008450F7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14:paraId="6E0018DE" w14:textId="77777777" w:rsidR="008450F7" w:rsidRPr="00847A54" w:rsidRDefault="008450F7" w:rsidP="008450F7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BA3797">
        <w:rPr>
          <w:rFonts w:ascii="Calibri" w:eastAsia="Times New Roman" w:hAnsi="Calibri" w:cs="Times New Roman"/>
          <w:noProof/>
          <w:color w:val="000000"/>
        </w:rPr>
        <w:drawing>
          <wp:inline distT="0" distB="0" distL="0" distR="0" wp14:anchorId="65C506B8" wp14:editId="529FA15A">
            <wp:extent cx="4572000" cy="2743200"/>
            <wp:effectExtent l="19050" t="0" r="19050" b="0"/>
            <wp:docPr id="8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4C6E999" w14:textId="77777777" w:rsidR="008450F7" w:rsidRDefault="008450F7" w:rsidP="008450F7">
      <w:pPr>
        <w:sectPr w:rsidR="008450F7" w:rsidSect="00DF1D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FC4A41" w14:textId="77777777" w:rsidR="00847A54" w:rsidRDefault="00847A54" w:rsidP="00B563B4"/>
    <w:sectPr w:rsidR="00847A54" w:rsidSect="00BB1C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73B1B"/>
    <w:multiLevelType w:val="hybridMultilevel"/>
    <w:tmpl w:val="A050A438"/>
    <w:lvl w:ilvl="0" w:tplc="04DE2F0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S2MLUwNzWyNDQ2MjBV0lEKTi0uzszPAykwrQUAl7mIYCwAAAA="/>
  </w:docVars>
  <w:rsids>
    <w:rsidRoot w:val="00DF1D0D"/>
    <w:rsid w:val="002E62E5"/>
    <w:rsid w:val="0032750E"/>
    <w:rsid w:val="00386DEA"/>
    <w:rsid w:val="00455BD9"/>
    <w:rsid w:val="004A09CE"/>
    <w:rsid w:val="005A7B64"/>
    <w:rsid w:val="005D1935"/>
    <w:rsid w:val="006031E4"/>
    <w:rsid w:val="0068442A"/>
    <w:rsid w:val="00740EBD"/>
    <w:rsid w:val="008450F7"/>
    <w:rsid w:val="00847A54"/>
    <w:rsid w:val="008F483C"/>
    <w:rsid w:val="009360CA"/>
    <w:rsid w:val="009B2E6B"/>
    <w:rsid w:val="00A4183B"/>
    <w:rsid w:val="00AA18E3"/>
    <w:rsid w:val="00B563B4"/>
    <w:rsid w:val="00BA3797"/>
    <w:rsid w:val="00BA7336"/>
    <w:rsid w:val="00BB1C7B"/>
    <w:rsid w:val="00BE626E"/>
    <w:rsid w:val="00CE5423"/>
    <w:rsid w:val="00DF1D0D"/>
    <w:rsid w:val="00E3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64BB9"/>
  <w15:docId w15:val="{B13F4136-06AC-44AE-A6E2-160CB296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E:\April%202019%20onwards\Research%20Projects\Kadaknath%20project\Paper%20writing\Publication_JC_2023\Submission%20Foods\Final_submission\Tables%20f\Supplementary%20information%20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Trolox standard curve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[1]Sheet3!$J$4</c:f>
              <c:strCache>
                <c:ptCount val="1"/>
                <c:pt idx="0">
                  <c:v>abs.735 nm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9.2790901137357842E-2"/>
                  <c:y val="-0.37928089438647405"/>
                </c:manualLayout>
              </c:layout>
              <c:numFmt formatCode="General" sourceLinked="0"/>
            </c:trendlineLbl>
          </c:trendline>
          <c:trendline>
            <c:trendlineType val="linear"/>
            <c:dispRSqr val="0"/>
            <c:dispEq val="0"/>
          </c:trendline>
          <c:xVal>
            <c:numRef>
              <c:f>[1]Sheet3!$I$5:$I$10</c:f>
              <c:numCache>
                <c:formatCode>General</c:formatCode>
                <c:ptCount val="6"/>
                <c:pt idx="0">
                  <c:v>50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</c:numCache>
            </c:numRef>
          </c:xVal>
          <c:yVal>
            <c:numRef>
              <c:f>[1]Sheet3!$J$5:$J$10</c:f>
              <c:numCache>
                <c:formatCode>General</c:formatCode>
                <c:ptCount val="6"/>
                <c:pt idx="0">
                  <c:v>0.54</c:v>
                </c:pt>
                <c:pt idx="1">
                  <c:v>0.5</c:v>
                </c:pt>
                <c:pt idx="2">
                  <c:v>0.38500000000000068</c:v>
                </c:pt>
                <c:pt idx="3">
                  <c:v>0.27500000000000002</c:v>
                </c:pt>
                <c:pt idx="4">
                  <c:v>0.14000000000000001</c:v>
                </c:pt>
                <c:pt idx="5">
                  <c:v>1.2500000000000023E-2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D508-463E-A68A-5CF98600E5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8494848"/>
        <c:axId val="89466752"/>
      </c:scatterChart>
      <c:valAx>
        <c:axId val="884948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/>
                </a:pPr>
                <a:r>
                  <a:rPr lang="en-US" sz="1000" b="0" i="0" baseline="0"/>
                  <a:t>Concentration (µM)</a:t>
                </a:r>
              </a:p>
            </c:rich>
          </c:tx>
          <c:layout>
            <c:manualLayout>
              <c:xMode val="edge"/>
              <c:yMode val="edge"/>
              <c:x val="0.38679636920385413"/>
              <c:y val="0.858101851851851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9466752"/>
        <c:crosses val="autoZero"/>
        <c:crossBetween val="midCat"/>
      </c:valAx>
      <c:valAx>
        <c:axId val="894667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00" b="0"/>
                </a:pPr>
                <a:r>
                  <a:rPr lang="en-US" sz="1000" b="0" i="0" baseline="0"/>
                  <a:t>Absorbance (735 nm)</a:t>
                </a:r>
              </a:p>
            </c:rich>
          </c:tx>
          <c:layout>
            <c:manualLayout>
              <c:xMode val="edge"/>
              <c:yMode val="edge"/>
              <c:x val="3.333333333333334E-2"/>
              <c:y val="0.22228382910469519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8849484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Trolox standard curve (% inhibition)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[2]Standard!$B$26</c:f>
              <c:strCache>
                <c:ptCount val="1"/>
                <c:pt idx="0">
                  <c:v>% inhibition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0.18779308836395509"/>
                  <c:y val="8.0418853893263365E-2"/>
                </c:manualLayout>
              </c:layout>
              <c:numFmt formatCode="General" sourceLinked="0"/>
            </c:trendlineLbl>
          </c:trendline>
          <c:xVal>
            <c:numRef>
              <c:f>[2]Standard!$A$27:$A$32</c:f>
              <c:numCache>
                <c:formatCode>General</c:formatCode>
                <c:ptCount val="6"/>
                <c:pt idx="0">
                  <c:v>50</c:v>
                </c:pt>
                <c:pt idx="1">
                  <c:v>100</c:v>
                </c:pt>
                <c:pt idx="2">
                  <c:v>200</c:v>
                </c:pt>
                <c:pt idx="3">
                  <c:v>300</c:v>
                </c:pt>
                <c:pt idx="4">
                  <c:v>400</c:v>
                </c:pt>
                <c:pt idx="5">
                  <c:v>500</c:v>
                </c:pt>
              </c:numCache>
            </c:numRef>
          </c:xVal>
          <c:yVal>
            <c:numRef>
              <c:f>[2]Standard!$B$27:$B$32</c:f>
              <c:numCache>
                <c:formatCode>General</c:formatCode>
                <c:ptCount val="6"/>
                <c:pt idx="0">
                  <c:v>9.09</c:v>
                </c:pt>
                <c:pt idx="1">
                  <c:v>18.559999999999999</c:v>
                </c:pt>
                <c:pt idx="2">
                  <c:v>34.11</c:v>
                </c:pt>
                <c:pt idx="3">
                  <c:v>58.46</c:v>
                </c:pt>
                <c:pt idx="4">
                  <c:v>78.78</c:v>
                </c:pt>
                <c:pt idx="5">
                  <c:v>97.460000000000022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AE9-418F-8D37-AE4A050BB8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9533824"/>
        <c:axId val="89577344"/>
      </c:scatterChart>
      <c:valAx>
        <c:axId val="895338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/>
                </a:pPr>
                <a:r>
                  <a:rPr lang="en-US" sz="1000" b="0" i="0" baseline="0"/>
                  <a:t>Concentration (µM)</a:t>
                </a:r>
              </a:p>
            </c:rich>
          </c:tx>
          <c:layout>
            <c:manualLayout>
              <c:xMode val="edge"/>
              <c:yMode val="edge"/>
              <c:x val="0.36995603674540833"/>
              <c:y val="0.8601618547681546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9577344"/>
        <c:crosses val="autoZero"/>
        <c:crossBetween val="midCat"/>
      </c:valAx>
      <c:valAx>
        <c:axId val="895773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00" b="0"/>
                </a:pPr>
                <a:r>
                  <a:rPr lang="en-US" sz="1000" b="0" i="0" baseline="0"/>
                  <a:t>% Inhibition</a:t>
                </a:r>
                <a:endParaRPr lang="en-US" sz="1000" b="0"/>
              </a:p>
            </c:rich>
          </c:tx>
          <c:layout>
            <c:manualLayout>
              <c:xMode val="edge"/>
              <c:yMode val="edge"/>
              <c:x val="4.1666666666666664E-2"/>
              <c:y val="0.2928740157480331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953382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Ascorbic</a:t>
            </a:r>
            <a:r>
              <a:rPr lang="en-US" sz="1200" baseline="0"/>
              <a:t> acid</a:t>
            </a:r>
            <a:endParaRPr lang="en-US" sz="1200"/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4282174103237094"/>
          <c:y val="0.13010425780110821"/>
          <c:w val="0.72365748031496069"/>
          <c:h val="0.63155839895013122"/>
        </c:manualLayout>
      </c:layout>
      <c:scatterChart>
        <c:scatterStyle val="lineMarker"/>
        <c:varyColors val="0"/>
        <c:ser>
          <c:idx val="0"/>
          <c:order val="0"/>
          <c:tx>
            <c:strRef>
              <c:f>[3]Sheet3!$F$5</c:f>
              <c:strCache>
                <c:ptCount val="1"/>
                <c:pt idx="0">
                  <c:v>% inhibition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8.319969378827724E-2"/>
                  <c:y val="0.23563648293963271"/>
                </c:manualLayout>
              </c:layout>
              <c:numFmt formatCode="General" sourceLinked="0"/>
            </c:trendlineLbl>
          </c:trendline>
          <c:xVal>
            <c:numRef>
              <c:f>[3]Sheet3!$E$6:$E$11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</c:numCache>
            </c:numRef>
          </c:xVal>
          <c:yVal>
            <c:numRef>
              <c:f>[3]Sheet3!$F$6:$F$11</c:f>
              <c:numCache>
                <c:formatCode>General</c:formatCode>
                <c:ptCount val="6"/>
                <c:pt idx="0">
                  <c:v>0</c:v>
                </c:pt>
                <c:pt idx="1">
                  <c:v>13.59</c:v>
                </c:pt>
                <c:pt idx="2">
                  <c:v>32.03</c:v>
                </c:pt>
                <c:pt idx="3">
                  <c:v>49.51</c:v>
                </c:pt>
                <c:pt idx="4">
                  <c:v>65.040000000000006</c:v>
                </c:pt>
                <c:pt idx="5">
                  <c:v>74.75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65A-44DD-A0C2-E0A391821D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7813760"/>
        <c:axId val="197816704"/>
      </c:scatterChart>
      <c:valAx>
        <c:axId val="1978137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+mn-lt"/>
                  </a:defRPr>
                </a:pPr>
                <a:r>
                  <a:rPr lang="en-US" b="0">
                    <a:latin typeface="+mn-lt"/>
                  </a:rPr>
                  <a:t>Concentration (</a:t>
                </a:r>
                <a:r>
                  <a:rPr lang="en-US" b="0">
                    <a:latin typeface="+mn-lt"/>
                    <a:cs typeface="Calibri"/>
                  </a:rPr>
                  <a:t>µg/ml)</a:t>
                </a:r>
                <a:endParaRPr lang="en-US" b="0">
                  <a:latin typeface="+mn-lt"/>
                </a:endParaRPr>
              </a:p>
            </c:rich>
          </c:tx>
          <c:layout>
            <c:manualLayout>
              <c:xMode val="edge"/>
              <c:yMode val="edge"/>
              <c:x val="0.34772681539807726"/>
              <c:y val="0.870370370370372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97816704"/>
        <c:crosses val="autoZero"/>
        <c:crossBetween val="midCat"/>
      </c:valAx>
      <c:valAx>
        <c:axId val="19781670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sz="1000" b="0" i="0" baseline="0"/>
                  <a:t>DPPH radical scavenging activity (%)</a:t>
                </a:r>
                <a:endParaRPr lang="en-US" sz="1000" b="0"/>
              </a:p>
            </c:rich>
          </c:tx>
          <c:layout>
            <c:manualLayout>
              <c:xMode val="edge"/>
              <c:yMode val="edge"/>
              <c:x val="3.5541557305336834E-2"/>
              <c:y val="9.7696850393701254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9781376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/>
            </a:pPr>
            <a:r>
              <a:rPr lang="en-US" sz="1200" b="1"/>
              <a:t>FeCl</a:t>
            </a:r>
            <a:r>
              <a:rPr lang="en-US" sz="1200" b="1" baseline="-25000"/>
              <a:t>2</a:t>
            </a:r>
            <a:r>
              <a:rPr lang="en-US" sz="1200" b="1"/>
              <a:t> standard curve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[4]Sheet4!$S$40</c:f>
              <c:strCache>
                <c:ptCount val="1"/>
                <c:pt idx="0">
                  <c:v>Net OD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6.5956911636046001E-2"/>
                  <c:y val="0.20778178769320504"/>
                </c:manualLayout>
              </c:layout>
              <c:numFmt formatCode="General" sourceLinked="0"/>
            </c:trendlineLbl>
          </c:trendline>
          <c:errBars>
            <c:errDir val="y"/>
            <c:errBarType val="both"/>
            <c:errValType val="cust"/>
            <c:noEndCap val="0"/>
            <c:plus>
              <c:numRef>
                <c:f>[4]Sheet4!$T$41:$T$47</c:f>
                <c:numCache>
                  <c:formatCode>General</c:formatCode>
                  <c:ptCount val="7"/>
                  <c:pt idx="0">
                    <c:v>3.6599999999998724E-2</c:v>
                  </c:pt>
                  <c:pt idx="1">
                    <c:v>1.0000000000000035E-3</c:v>
                  </c:pt>
                  <c:pt idx="2">
                    <c:v>1.0000000000000035E-3</c:v>
                  </c:pt>
                  <c:pt idx="3">
                    <c:v>5.0000000000000131E-4</c:v>
                  </c:pt>
                  <c:pt idx="4">
                    <c:v>1.0000000000000035E-3</c:v>
                  </c:pt>
                  <c:pt idx="5">
                    <c:v>1.5000000000000039E-3</c:v>
                  </c:pt>
                  <c:pt idx="6">
                    <c:v>5.0000000000000131E-4</c:v>
                  </c:pt>
                </c:numCache>
              </c:numRef>
            </c:plus>
            <c:minus>
              <c:numRef>
                <c:f>[4]Sheet4!$T$41:$T$47</c:f>
                <c:numCache>
                  <c:formatCode>General</c:formatCode>
                  <c:ptCount val="7"/>
                  <c:pt idx="0">
                    <c:v>3.6599999999998724E-2</c:v>
                  </c:pt>
                  <c:pt idx="1">
                    <c:v>1.0000000000000035E-3</c:v>
                  </c:pt>
                  <c:pt idx="2">
                    <c:v>1.0000000000000035E-3</c:v>
                  </c:pt>
                  <c:pt idx="3">
                    <c:v>5.0000000000000131E-4</c:v>
                  </c:pt>
                  <c:pt idx="4">
                    <c:v>1.0000000000000035E-3</c:v>
                  </c:pt>
                  <c:pt idx="5">
                    <c:v>1.5000000000000039E-3</c:v>
                  </c:pt>
                  <c:pt idx="6">
                    <c:v>5.0000000000000131E-4</c:v>
                  </c:pt>
                </c:numCache>
              </c:numRef>
            </c:minus>
          </c:errBars>
          <c:errBars>
            <c:errDir val="x"/>
            <c:errBarType val="both"/>
            <c:errValType val="fixedVal"/>
            <c:noEndCap val="0"/>
            <c:val val="1"/>
          </c:errBars>
          <c:xVal>
            <c:numRef>
              <c:f>[4]Sheet4!$R$41:$R$47</c:f>
              <c:numCache>
                <c:formatCode>General</c:formatCode>
                <c:ptCount val="7"/>
                <c:pt idx="0">
                  <c:v>1000</c:v>
                </c:pt>
                <c:pt idx="1">
                  <c:v>500</c:v>
                </c:pt>
                <c:pt idx="2">
                  <c:v>250</c:v>
                </c:pt>
                <c:pt idx="3">
                  <c:v>125</c:v>
                </c:pt>
                <c:pt idx="4">
                  <c:v>62.05</c:v>
                </c:pt>
                <c:pt idx="5">
                  <c:v>31.25</c:v>
                </c:pt>
                <c:pt idx="6">
                  <c:v>0</c:v>
                </c:pt>
              </c:numCache>
            </c:numRef>
          </c:xVal>
          <c:yVal>
            <c:numRef>
              <c:f>[4]Sheet4!$S$41:$S$47</c:f>
              <c:numCache>
                <c:formatCode>General</c:formatCode>
                <c:ptCount val="7"/>
                <c:pt idx="0">
                  <c:v>1.1643999999999999</c:v>
                </c:pt>
                <c:pt idx="1">
                  <c:v>0.60100000000000064</c:v>
                </c:pt>
                <c:pt idx="2">
                  <c:v>0.32100000000000067</c:v>
                </c:pt>
                <c:pt idx="3">
                  <c:v>0.16250000000000001</c:v>
                </c:pt>
                <c:pt idx="4">
                  <c:v>8.1000000000000044E-2</c:v>
                </c:pt>
                <c:pt idx="5">
                  <c:v>2.4499999999999994E-2</c:v>
                </c:pt>
                <c:pt idx="6">
                  <c:v>-5.0000000000000131E-4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610-496D-AA38-E4FF390461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6265728"/>
        <c:axId val="206419840"/>
      </c:scatterChart>
      <c:valAx>
        <c:axId val="206265728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US" sz="1000" b="0" i="0" baseline="0"/>
                  <a:t>Concentration(uM)</a:t>
                </a:r>
              </a:p>
            </c:rich>
          </c:tx>
          <c:layout>
            <c:manualLayout>
              <c:xMode val="edge"/>
              <c:yMode val="edge"/>
              <c:x val="0.39237270341207736"/>
              <c:y val="0.8786803732866765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06419840"/>
        <c:crosses val="autoZero"/>
        <c:crossBetween val="midCat"/>
      </c:valAx>
      <c:valAx>
        <c:axId val="206419840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00" b="0"/>
                </a:pPr>
                <a:r>
                  <a:rPr lang="en-US" sz="1000" b="0" i="0" baseline="0">
                    <a:latin typeface="+mn-lt"/>
                  </a:rPr>
                  <a:t>Absorbance (560 nm)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0626572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 b="1" i="0" baseline="0"/>
              <a:t>Trolox standard curve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'[7]Standard '!$G$5</c:f>
              <c:strCache>
                <c:ptCount val="1"/>
                <c:pt idx="0">
                  <c:v>Mean OD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1.8083770778652749E-2"/>
                  <c:y val="0.20947907553222636"/>
                </c:manualLayout>
              </c:layout>
              <c:numFmt formatCode="General" sourceLinked="0"/>
            </c:trendlineLbl>
          </c:trendline>
          <c:xVal>
            <c:numRef>
              <c:f>'[7]Standard '!$F$6:$F$11</c:f>
              <c:numCache>
                <c:formatCode>General</c:formatCode>
                <c:ptCount val="6"/>
                <c:pt idx="0">
                  <c:v>0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'[7]Standard '!$G$6:$G$11</c:f>
              <c:numCache>
                <c:formatCode>General</c:formatCode>
                <c:ptCount val="6"/>
                <c:pt idx="0">
                  <c:v>0.12350000000000012</c:v>
                </c:pt>
                <c:pt idx="1">
                  <c:v>0.23100000000000001</c:v>
                </c:pt>
                <c:pt idx="2">
                  <c:v>0.38050000000000067</c:v>
                </c:pt>
                <c:pt idx="3">
                  <c:v>0.51100000000000001</c:v>
                </c:pt>
                <c:pt idx="4">
                  <c:v>0.64600000000000135</c:v>
                </c:pt>
                <c:pt idx="5">
                  <c:v>0.74350000000000005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6EB-4E24-B5F4-7D0A6A170D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041344"/>
        <c:axId val="90051712"/>
      </c:scatterChart>
      <c:valAx>
        <c:axId val="90041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US" sz="1000" b="0" i="0" baseline="0"/>
                  <a:t>Concentration(nM)</a:t>
                </a:r>
                <a:endParaRPr lang="en-US" sz="1000" b="0"/>
              </a:p>
            </c:rich>
          </c:tx>
          <c:layout>
            <c:manualLayout>
              <c:xMode val="edge"/>
              <c:yMode val="edge"/>
              <c:x val="0.36071303587051612"/>
              <c:y val="0.8473377806940799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0051712"/>
        <c:crosses val="autoZero"/>
        <c:crossBetween val="midCat"/>
      </c:valAx>
      <c:valAx>
        <c:axId val="900517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sz="1000" b="0" i="0" baseline="0"/>
                  <a:t>Absorbance (570 nm)</a:t>
                </a:r>
                <a:endParaRPr lang="en-US" sz="1000" b="0"/>
              </a:p>
            </c:rich>
          </c:tx>
          <c:layout>
            <c:manualLayout>
              <c:xMode val="edge"/>
              <c:yMode val="edge"/>
              <c:x val="3.333333333333334E-2"/>
              <c:y val="0.2408023476232137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00413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 b="1" i="0" u="none" strike="noStrike" baseline="0"/>
              <a:t>Trolox s</a:t>
            </a:r>
            <a:r>
              <a:rPr lang="en-US" sz="1200" baseline="0"/>
              <a:t>tandard curve  </a:t>
            </a:r>
          </a:p>
        </c:rich>
      </c:tx>
      <c:overlay val="1"/>
    </c:title>
    <c:autoTitleDeleted val="0"/>
    <c:plotArea>
      <c:layout>
        <c:manualLayout>
          <c:layoutTarget val="inner"/>
          <c:xMode val="edge"/>
          <c:yMode val="edge"/>
          <c:x val="0.10948840769903684"/>
          <c:y val="0.17177092446777489"/>
          <c:w val="0.76254636920384955"/>
          <c:h val="0.65933617672790856"/>
        </c:manualLayout>
      </c:layout>
      <c:scatterChart>
        <c:scatterStyle val="lineMarker"/>
        <c:varyColors val="0"/>
        <c:ser>
          <c:idx val="0"/>
          <c:order val="0"/>
          <c:spPr>
            <a:ln w="19050">
              <a:noFill/>
            </a:ln>
          </c:spPr>
          <c:trendline>
            <c:trendlineType val="linear"/>
            <c:dispRSqr val="0"/>
            <c:dispEq val="0"/>
          </c:trendline>
          <c:trendline>
            <c:trendlineType val="linear"/>
            <c:dispRSqr val="1"/>
            <c:dispEq val="1"/>
            <c:trendlineLbl>
              <c:layout>
                <c:manualLayout>
                  <c:x val="5.155206977080621E-2"/>
                  <c:y val="0.23852653834937299"/>
                </c:manualLayout>
              </c:layout>
              <c:numFmt formatCode="General" sourceLinked="0"/>
            </c:trendlineLbl>
          </c:trendline>
          <c:xVal>
            <c:numRef>
              <c:f>[5]Sheet3!$A$9:$A$15</c:f>
              <c:numCache>
                <c:formatCode>General</c:formatCode>
                <c:ptCount val="7"/>
                <c:pt idx="0">
                  <c:v>50</c:v>
                </c:pt>
                <c:pt idx="1">
                  <c:v>40</c:v>
                </c:pt>
                <c:pt idx="2">
                  <c:v>30</c:v>
                </c:pt>
                <c:pt idx="3">
                  <c:v>20</c:v>
                </c:pt>
                <c:pt idx="4">
                  <c:v>10</c:v>
                </c:pt>
                <c:pt idx="5">
                  <c:v>5</c:v>
                </c:pt>
                <c:pt idx="6">
                  <c:v>2.5</c:v>
                </c:pt>
              </c:numCache>
            </c:numRef>
          </c:xVal>
          <c:yVal>
            <c:numRef>
              <c:f>[5]Sheet3!$B$9:$B$15</c:f>
              <c:numCache>
                <c:formatCode>General</c:formatCode>
                <c:ptCount val="7"/>
                <c:pt idx="0">
                  <c:v>59.1</c:v>
                </c:pt>
                <c:pt idx="1">
                  <c:v>48.25</c:v>
                </c:pt>
                <c:pt idx="2">
                  <c:v>39.03</c:v>
                </c:pt>
                <c:pt idx="3">
                  <c:v>26.35</c:v>
                </c:pt>
                <c:pt idx="4">
                  <c:v>15.01</c:v>
                </c:pt>
                <c:pt idx="5">
                  <c:v>10.850000000000019</c:v>
                </c:pt>
                <c:pt idx="6">
                  <c:v>6.1099999999999985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012B-42B3-A32A-9EE364E8A9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081920"/>
        <c:axId val="90100480"/>
      </c:scatterChart>
      <c:valAx>
        <c:axId val="900819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/>
                  <a:t>Concentration (uM)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0100480"/>
        <c:crosses val="autoZero"/>
        <c:crossBetween val="midCat"/>
      </c:valAx>
      <c:valAx>
        <c:axId val="9010048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b="0"/>
                  <a:t>Net</a:t>
                </a:r>
                <a:r>
                  <a:rPr lang="en-US" b="0" baseline="0"/>
                  <a:t> AUC</a:t>
                </a:r>
              </a:p>
              <a:p>
                <a:pPr>
                  <a:defRPr b="0"/>
                </a:pPr>
                <a:endParaRPr lang="en-US" b="0"/>
              </a:p>
            </c:rich>
          </c:tx>
          <c:layout>
            <c:manualLayout>
              <c:xMode val="edge"/>
              <c:yMode val="edge"/>
              <c:x val="1.8372703412073491E-2"/>
              <c:y val="0.4059991980169145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00819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/>
            </a:pPr>
            <a:r>
              <a:rPr lang="en-US" sz="1200" b="1" i="0" baseline="0"/>
              <a:t>EDTA standard curve</a:t>
            </a:r>
            <a:endParaRPr lang="en-US" sz="1200" b="1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'[6]Standard curve'!$I$3</c:f>
              <c:strCache>
                <c:ptCount val="1"/>
                <c:pt idx="0">
                  <c:v>% inhibition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2.3456036745406823E-2"/>
                  <c:y val="-1.2207640711577719E-2"/>
                </c:manualLayout>
              </c:layout>
              <c:numFmt formatCode="General" sourceLinked="0"/>
            </c:trendlineLbl>
          </c:trendline>
          <c:xVal>
            <c:numRef>
              <c:f>'[6]Standard curve'!$H$4:$H$10</c:f>
              <c:numCache>
                <c:formatCode>General</c:formatCode>
                <c:ptCount val="7"/>
                <c:pt idx="0">
                  <c:v>25</c:v>
                </c:pt>
                <c:pt idx="1">
                  <c:v>50</c:v>
                </c:pt>
                <c:pt idx="2">
                  <c:v>75</c:v>
                </c:pt>
                <c:pt idx="3">
                  <c:v>100</c:v>
                </c:pt>
                <c:pt idx="4">
                  <c:v>125</c:v>
                </c:pt>
                <c:pt idx="5">
                  <c:v>150</c:v>
                </c:pt>
                <c:pt idx="6">
                  <c:v>200</c:v>
                </c:pt>
              </c:numCache>
            </c:numRef>
          </c:xVal>
          <c:yVal>
            <c:numRef>
              <c:f>'[6]Standard curve'!$I$4:$I$10</c:f>
              <c:numCache>
                <c:formatCode>General</c:formatCode>
                <c:ptCount val="7"/>
                <c:pt idx="0">
                  <c:v>9.2140921409213981</c:v>
                </c:pt>
                <c:pt idx="1">
                  <c:v>17.34417344173443</c:v>
                </c:pt>
                <c:pt idx="2">
                  <c:v>34.010840108401084</c:v>
                </c:pt>
                <c:pt idx="3">
                  <c:v>48.509485094850952</c:v>
                </c:pt>
                <c:pt idx="4">
                  <c:v>60.298102981030034</c:v>
                </c:pt>
                <c:pt idx="5">
                  <c:v>75.609756097560705</c:v>
                </c:pt>
                <c:pt idx="6">
                  <c:v>97.289972899728724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0D3-4809-A071-8A7CE6B5FD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105344"/>
        <c:axId val="90107264"/>
      </c:scatterChart>
      <c:valAx>
        <c:axId val="90105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/>
                </a:pPr>
                <a:r>
                  <a:rPr lang="en-US" sz="1000" b="0" i="0" baseline="0"/>
                  <a:t>Concentration (µM)</a:t>
                </a:r>
                <a:endParaRPr lang="en-US" sz="1000" b="0"/>
              </a:p>
            </c:rich>
          </c:tx>
          <c:layout>
            <c:manualLayout>
              <c:xMode val="edge"/>
              <c:yMode val="edge"/>
              <c:x val="0.370296369203853"/>
              <c:y val="0.8581018518518518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0107264"/>
        <c:crosses val="autoZero"/>
        <c:crossBetween val="midCat"/>
      </c:valAx>
      <c:valAx>
        <c:axId val="901072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sz="1000" b="0"/>
                  <a:t>Metal chelating activity (%)</a:t>
                </a:r>
              </a:p>
            </c:rich>
          </c:tx>
          <c:layout>
            <c:manualLayout>
              <c:xMode val="edge"/>
              <c:yMode val="edge"/>
              <c:x val="4.7222222222222332E-2"/>
              <c:y val="0.167025736366287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901053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Carnosine standard curve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'[6]Standard curve'!$I$18</c:f>
              <c:strCache>
                <c:ptCount val="1"/>
                <c:pt idx="0">
                  <c:v>% inhibition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-4.1054899387576546E-2"/>
                  <c:y val="-2.3254593175853017E-2"/>
                </c:manualLayout>
              </c:layout>
              <c:numFmt formatCode="General" sourceLinked="0"/>
            </c:trendlineLbl>
          </c:trendline>
          <c:xVal>
            <c:numRef>
              <c:f>'[6]Standard curve'!$H$19:$H$23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</c:numCache>
            </c:numRef>
          </c:xVal>
          <c:yVal>
            <c:numRef>
              <c:f>'[6]Standard curve'!$I$19:$I$23</c:f>
              <c:numCache>
                <c:formatCode>General</c:formatCode>
                <c:ptCount val="5"/>
                <c:pt idx="0">
                  <c:v>11.942257217847787</c:v>
                </c:pt>
                <c:pt idx="1">
                  <c:v>34.383202099737389</c:v>
                </c:pt>
                <c:pt idx="2">
                  <c:v>55.38057742782145</c:v>
                </c:pt>
                <c:pt idx="3">
                  <c:v>73.884514435695522</c:v>
                </c:pt>
                <c:pt idx="4">
                  <c:v>95.538057742782158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7DA-4736-828F-F1F15FD492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7841280"/>
        <c:axId val="197843200"/>
      </c:scatterChart>
      <c:valAx>
        <c:axId val="1978412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US" sz="1000" b="0" i="0" baseline="0"/>
                  <a:t>Concentration (mM)</a:t>
                </a:r>
              </a:p>
            </c:rich>
          </c:tx>
          <c:layout>
            <c:manualLayout>
              <c:xMode val="edge"/>
              <c:yMode val="edge"/>
              <c:x val="0.37671981627296791"/>
              <c:y val="0.8694211140274136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97843200"/>
        <c:crosses val="autoZero"/>
        <c:crossBetween val="midCat"/>
      </c:valAx>
      <c:valAx>
        <c:axId val="1978432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US" sz="1000" b="0" i="0" baseline="0">
                    <a:latin typeface="+mn-lt"/>
                  </a:rPr>
                  <a:t>Metal chelating activity (%)</a:t>
                </a:r>
                <a:endParaRPr lang="en-US" sz="1000" b="0">
                  <a:latin typeface="+mn-lt"/>
                </a:endParaRPr>
              </a:p>
            </c:rich>
          </c:tx>
          <c:layout>
            <c:manualLayout>
              <c:xMode val="edge"/>
              <c:yMode val="edge"/>
              <c:x val="4.7222222222222332E-2"/>
              <c:y val="0.18661235053951591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19784128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360</Words>
  <Characters>2411</Characters>
  <Application>Microsoft Office Word</Application>
  <DocSecurity>0</DocSecurity>
  <Lines>219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MDPI</cp:lastModifiedBy>
  <cp:revision>20</cp:revision>
  <dcterms:created xsi:type="dcterms:W3CDTF">2023-05-24T07:11:00Z</dcterms:created>
  <dcterms:modified xsi:type="dcterms:W3CDTF">2023-06-15T12:49:00Z</dcterms:modified>
</cp:coreProperties>
</file>