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966EA" w14:textId="1EC750B4" w:rsidR="00243653" w:rsidRPr="008006EA" w:rsidRDefault="00E738AF" w:rsidP="00243653">
      <w:pPr>
        <w:pStyle w:val="MDPI12title"/>
        <w:tabs>
          <w:tab w:val="left" w:pos="2687"/>
        </w:tabs>
        <w:spacing w:line="240" w:lineRule="atLeast"/>
      </w:pPr>
      <w:r w:rsidRPr="00E738AF">
        <w:t xml:space="preserve">Microbiological </w:t>
      </w:r>
      <w:r w:rsidR="004905D0" w:rsidRPr="00E738AF">
        <w:t>Characterization of Insect Feeding Substrates</w:t>
      </w:r>
    </w:p>
    <w:p w14:paraId="2A7E092F" w14:textId="77777777" w:rsidR="00243653" w:rsidRPr="008006EA" w:rsidRDefault="00243653" w:rsidP="00243653">
      <w:pPr>
        <w:pStyle w:val="MDPI21heading1"/>
      </w:pPr>
      <w:r w:rsidRPr="008006EA">
        <w:rPr>
          <w:lang w:eastAsia="zh-CN"/>
        </w:rPr>
        <w:t xml:space="preserve">1. </w:t>
      </w:r>
      <w:r w:rsidRPr="008006EA">
        <w:t>Introduction</w:t>
      </w:r>
    </w:p>
    <w:p w14:paraId="40331250" w14:textId="1E0B2587" w:rsidR="00E738AF" w:rsidRDefault="00E738AF" w:rsidP="00E738AF">
      <w:pPr>
        <w:pStyle w:val="MDPI31text"/>
        <w:rPr>
          <w:b/>
        </w:rPr>
      </w:pPr>
      <w:r w:rsidRPr="00E738AF">
        <w:t xml:space="preserve">The European Food Safety Authority (EFSA) recently reviewed all available information on the safety of insects for use in feed and food </w:t>
      </w:r>
      <w:r w:rsidR="00FF68E8">
        <w:t>[</w:t>
      </w:r>
      <w:r w:rsidR="00EB4E2C">
        <w:t>52</w:t>
      </w:r>
      <w:r w:rsidR="00FF68E8">
        <w:t>]</w:t>
      </w:r>
      <w:r w:rsidRPr="00E738AF">
        <w:t xml:space="preserve">. According to the EFSA recommendations, the authors contributed to the study of insect microbiota and investigated the bacterial biota characterizing a pilot production of </w:t>
      </w:r>
      <w:r w:rsidRPr="00E738AF">
        <w:rPr>
          <w:i/>
          <w:iCs/>
        </w:rPr>
        <w:t>Tenebrio molitor</w:t>
      </w:r>
      <w:r w:rsidRPr="00E738AF">
        <w:t xml:space="preserve"> larvae reared on wheat milling by-products </w:t>
      </w:r>
      <w:r w:rsidR="00FF68E8">
        <w:t>[</w:t>
      </w:r>
      <w:r w:rsidR="00EB4E2C">
        <w:t>53</w:t>
      </w:r>
      <w:r w:rsidR="00FF68E8">
        <w:t>]</w:t>
      </w:r>
      <w:r w:rsidRPr="00E738AF">
        <w:t>. Data concerning the microbiological quality of substrates described in the main paper are provided here, with the aim of contributing to the safety assessment of the final product (mealworm larvae).</w:t>
      </w:r>
    </w:p>
    <w:p w14:paraId="0252506C" w14:textId="77777777" w:rsidR="00243653" w:rsidRPr="008006EA" w:rsidRDefault="00243653" w:rsidP="00243653">
      <w:pPr>
        <w:pStyle w:val="MDPI21heading1"/>
      </w:pPr>
      <w:r w:rsidRPr="008006EA">
        <w:rPr>
          <w:lang w:eastAsia="zh-CN"/>
        </w:rPr>
        <w:t xml:space="preserve">2. </w:t>
      </w:r>
      <w:r w:rsidRPr="008006EA">
        <w:t xml:space="preserve">Materials and Methods </w:t>
      </w:r>
    </w:p>
    <w:p w14:paraId="2AE3EC0B" w14:textId="0E4A4645" w:rsidR="00243653" w:rsidRPr="00B61C94" w:rsidRDefault="00E738AF" w:rsidP="00243653">
      <w:pPr>
        <w:pStyle w:val="MDPI31text"/>
        <w:rPr>
          <w:spacing w:val="-2"/>
        </w:rPr>
      </w:pPr>
      <w:r w:rsidRPr="00E738AF">
        <w:t>Twe</w:t>
      </w:r>
      <w:r w:rsidR="009C5A50">
        <w:t>nty-five grams of each diet (S1–</w:t>
      </w:r>
      <w:r w:rsidRPr="00E738AF">
        <w:t>S5) were suspended in 225 mL of sterilized peptone water (1 g L</w:t>
      </w:r>
      <w:r w:rsidRPr="00E738AF">
        <w:rPr>
          <w:vertAlign w:val="superscript"/>
        </w:rPr>
        <w:t>-1</w:t>
      </w:r>
      <w:r w:rsidRPr="00E738AF">
        <w:t xml:space="preserve">, Oxoid, Basingstoke, UK) and subjected to 5 min of homogenization at 230 rpm in a Stomacher 400 Circulator apparatus (VWR International PBI, Milan, Italy). Suspensions were then 10-fold diluted in peptone water and subjected to microbial enumeration of total mesophilic aerobes, lactic acid bacteria, </w:t>
      </w:r>
      <w:r w:rsidRPr="00A132A7">
        <w:rPr>
          <w:i/>
          <w:iCs/>
        </w:rPr>
        <w:t>Enterobacteriaceae</w:t>
      </w:r>
      <w:r w:rsidRPr="00E738AF">
        <w:t xml:space="preserve">, and spore forming bacteria in appropriate growth media, as already described in </w:t>
      </w:r>
      <w:r w:rsidRPr="00FF68E8">
        <w:t xml:space="preserve">Osimani et al. </w:t>
      </w:r>
      <w:r w:rsidR="00FF68E8" w:rsidRPr="00FF68E8">
        <w:t>[</w:t>
      </w:r>
      <w:r w:rsidR="00EB4E2C">
        <w:t>53</w:t>
      </w:r>
      <w:r w:rsidR="00FF68E8">
        <w:t>]</w:t>
      </w:r>
      <w:r w:rsidRPr="00E738AF">
        <w:t xml:space="preserve">. Eumycetes were counted as previously reported </w:t>
      </w:r>
      <w:r w:rsidRPr="00FF68E8">
        <w:t xml:space="preserve">in Osimani et al. </w:t>
      </w:r>
      <w:r w:rsidR="00FF68E8" w:rsidRPr="00FF68E8">
        <w:t>[</w:t>
      </w:r>
      <w:r w:rsidR="00557D05" w:rsidRPr="00FF68E8">
        <w:t>2</w:t>
      </w:r>
      <w:r w:rsidR="00557D05">
        <w:t>9</w:t>
      </w:r>
      <w:r w:rsidR="00FF68E8" w:rsidRPr="00FF68E8">
        <w:t>]</w:t>
      </w:r>
      <w:r w:rsidRPr="00FF68E8">
        <w:t xml:space="preserve">. The presence of </w:t>
      </w:r>
      <w:r w:rsidRPr="00FF68E8">
        <w:rPr>
          <w:i/>
          <w:iCs/>
        </w:rPr>
        <w:t>Listeria monocytogenes</w:t>
      </w:r>
      <w:r w:rsidRPr="00FF68E8">
        <w:t xml:space="preserve"> and </w:t>
      </w:r>
      <w:r w:rsidRPr="00FF68E8">
        <w:rPr>
          <w:i/>
          <w:iCs/>
        </w:rPr>
        <w:t>Salmonella</w:t>
      </w:r>
      <w:r w:rsidRPr="00FF68E8">
        <w:t xml:space="preserve"> spp. were assessed according to the</w:t>
      </w:r>
      <w:r w:rsidRPr="00E738AF">
        <w:t xml:space="preserve"> AFNOR BIO 12/11-03/04 and AFNOR BIO 12/16-09/05 standard methods, respectively. Microbiological analyses were performed in triplicate.</w:t>
      </w:r>
    </w:p>
    <w:p w14:paraId="04E32D4E" w14:textId="77777777" w:rsidR="00243653" w:rsidRPr="008006EA" w:rsidRDefault="00243653" w:rsidP="00243653">
      <w:pPr>
        <w:pStyle w:val="MDPI21heading1"/>
      </w:pPr>
      <w:r w:rsidRPr="008006EA">
        <w:t>3. Results</w:t>
      </w:r>
      <w:r w:rsidR="00E738AF">
        <w:t xml:space="preserve"> and discussion</w:t>
      </w:r>
    </w:p>
    <w:p w14:paraId="1A4DC282" w14:textId="77777777" w:rsidR="00243653" w:rsidRDefault="00E738AF" w:rsidP="00243653">
      <w:pPr>
        <w:pStyle w:val="MDPI31text"/>
      </w:pPr>
      <w:r w:rsidRPr="00E738AF">
        <w:t xml:space="preserve">Viable counts of the experimental diets are reported in Table </w:t>
      </w:r>
      <w:r w:rsidR="007652B7">
        <w:t>S</w:t>
      </w:r>
      <w:r w:rsidRPr="00E738AF">
        <w:t>1.</w:t>
      </w:r>
    </w:p>
    <w:p w14:paraId="342BBF68" w14:textId="61AA9B3C" w:rsidR="00E738AF" w:rsidRPr="008006EA" w:rsidRDefault="00E738AF" w:rsidP="004905D0">
      <w:pPr>
        <w:pStyle w:val="MDPI41tablecaption"/>
      </w:pPr>
      <w:r w:rsidRPr="00371C6B">
        <w:rPr>
          <w:b/>
        </w:rPr>
        <w:t xml:space="preserve">Table </w:t>
      </w:r>
      <w:r w:rsidR="00371C6B">
        <w:rPr>
          <w:b/>
        </w:rPr>
        <w:t>S4</w:t>
      </w:r>
      <w:r w:rsidRPr="00371C6B">
        <w:rPr>
          <w:b/>
        </w:rPr>
        <w:t>.</w:t>
      </w:r>
      <w:r w:rsidRPr="004905D0">
        <w:rPr>
          <w:b/>
        </w:rPr>
        <w:t xml:space="preserve"> </w:t>
      </w:r>
      <w:r w:rsidRPr="00E738AF">
        <w:t>Microbiological characterization of the different feeding media (diets</w:t>
      </w:r>
      <w:r w:rsidR="004905D0">
        <w:t xml:space="preserve"> </w:t>
      </w:r>
      <w:r w:rsidR="007652B7" w:rsidRPr="007652B7">
        <w:rPr>
          <w:vertAlign w:val="superscript"/>
        </w:rPr>
        <w:t>1</w:t>
      </w:r>
      <w:r w:rsidRPr="00E738AF">
        <w:t>). The results are expressed as mean value (log cfu</w:t>
      </w:r>
      <w:r w:rsidR="007652B7">
        <w:t xml:space="preserve"> g</w:t>
      </w:r>
      <w:r w:rsidRPr="007652B7">
        <w:rPr>
          <w:vertAlign w:val="superscript"/>
        </w:rPr>
        <w:t>-1</w:t>
      </w:r>
      <w:r w:rsidRPr="00E738AF">
        <w:t>) ± standard deviation</w:t>
      </w:r>
      <w:r w:rsidRPr="008006EA">
        <w:t>.</w:t>
      </w:r>
    </w:p>
    <w:tbl>
      <w:tblPr>
        <w:tblW w:w="0" w:type="auto"/>
        <w:jc w:val="center"/>
        <w:tblBorders>
          <w:top w:val="single" w:sz="8" w:space="0" w:color="auto"/>
          <w:bottom w:val="single" w:sz="8" w:space="0" w:color="auto"/>
        </w:tblBorders>
        <w:tblLook w:val="04A0" w:firstRow="1" w:lastRow="0" w:firstColumn="1" w:lastColumn="0" w:noHBand="0" w:noVBand="1"/>
      </w:tblPr>
      <w:tblGrid>
        <w:gridCol w:w="1354"/>
        <w:gridCol w:w="1449"/>
        <w:gridCol w:w="1365"/>
        <w:gridCol w:w="1913"/>
        <w:gridCol w:w="1354"/>
        <w:gridCol w:w="1409"/>
      </w:tblGrid>
      <w:tr w:rsidR="00E738AF" w:rsidRPr="00E738AF" w14:paraId="23744BD1" w14:textId="77777777" w:rsidTr="00DE7345">
        <w:trPr>
          <w:jc w:val="center"/>
        </w:trPr>
        <w:tc>
          <w:tcPr>
            <w:tcW w:w="1529" w:type="dxa"/>
            <w:tcBorders>
              <w:bottom w:val="single" w:sz="4" w:space="0" w:color="auto"/>
            </w:tcBorders>
            <w:shd w:val="clear" w:color="auto" w:fill="auto"/>
            <w:vAlign w:val="center"/>
          </w:tcPr>
          <w:p w14:paraId="0D5ACBE1" w14:textId="77777777" w:rsidR="00E738AF" w:rsidRPr="00E738AF" w:rsidRDefault="00E738AF" w:rsidP="00E738AF">
            <w:pPr>
              <w:pStyle w:val="MDPI42tablebody"/>
              <w:rPr>
                <w:rFonts w:eastAsia="MS MinNew Roman"/>
                <w:b/>
                <w:bCs/>
                <w:lang w:val="en-GB"/>
              </w:rPr>
            </w:pPr>
            <w:r w:rsidRPr="00E738AF">
              <w:rPr>
                <w:rFonts w:eastAsia="MS MinNew Roman"/>
                <w:b/>
                <w:bCs/>
                <w:lang w:val="en-GB"/>
              </w:rPr>
              <w:t>Sample</w:t>
            </w:r>
          </w:p>
        </w:tc>
        <w:tc>
          <w:tcPr>
            <w:tcW w:w="1526" w:type="dxa"/>
            <w:tcBorders>
              <w:bottom w:val="single" w:sz="4" w:space="0" w:color="auto"/>
            </w:tcBorders>
            <w:shd w:val="clear" w:color="auto" w:fill="auto"/>
            <w:vAlign w:val="center"/>
          </w:tcPr>
          <w:p w14:paraId="6F4C3B12" w14:textId="7F83040F" w:rsidR="00E738AF" w:rsidRPr="00E738AF" w:rsidRDefault="00E738AF" w:rsidP="00E738AF">
            <w:pPr>
              <w:pStyle w:val="MDPI42tablebody"/>
              <w:rPr>
                <w:rFonts w:eastAsia="MS MinNew Roman"/>
                <w:b/>
                <w:bCs/>
                <w:lang w:val="en-GB"/>
              </w:rPr>
            </w:pPr>
            <w:r w:rsidRPr="00E738AF">
              <w:rPr>
                <w:rFonts w:eastAsia="MS MinNew Roman"/>
                <w:b/>
                <w:bCs/>
                <w:lang w:val="en-GB"/>
              </w:rPr>
              <w:t xml:space="preserve">Total </w:t>
            </w:r>
            <w:r w:rsidR="004905D0" w:rsidRPr="00E738AF">
              <w:rPr>
                <w:rFonts w:eastAsia="MS MinNew Roman"/>
                <w:b/>
                <w:bCs/>
                <w:lang w:val="en-GB"/>
              </w:rPr>
              <w:t>Mesophilic Aerobes</w:t>
            </w:r>
          </w:p>
        </w:tc>
        <w:tc>
          <w:tcPr>
            <w:tcW w:w="1526" w:type="dxa"/>
            <w:tcBorders>
              <w:bottom w:val="single" w:sz="4" w:space="0" w:color="auto"/>
            </w:tcBorders>
            <w:shd w:val="clear" w:color="auto" w:fill="auto"/>
            <w:vAlign w:val="center"/>
          </w:tcPr>
          <w:p w14:paraId="5A83148D" w14:textId="2B9A523B" w:rsidR="00E738AF" w:rsidRPr="00E738AF" w:rsidRDefault="00E738AF" w:rsidP="00E738AF">
            <w:pPr>
              <w:pStyle w:val="MDPI42tablebody"/>
              <w:rPr>
                <w:rFonts w:eastAsia="MS MinNew Roman"/>
                <w:b/>
                <w:bCs/>
                <w:lang w:val="en-GB"/>
              </w:rPr>
            </w:pPr>
            <w:r w:rsidRPr="00E738AF">
              <w:rPr>
                <w:rFonts w:eastAsia="MS MinNew Roman"/>
                <w:b/>
                <w:bCs/>
                <w:lang w:val="en-GB"/>
              </w:rPr>
              <w:t xml:space="preserve">Lactic </w:t>
            </w:r>
            <w:r w:rsidR="004905D0" w:rsidRPr="00E738AF">
              <w:rPr>
                <w:rFonts w:eastAsia="MS MinNew Roman"/>
                <w:b/>
                <w:bCs/>
                <w:lang w:val="en-GB"/>
              </w:rPr>
              <w:t>Acid Bacteria</w:t>
            </w:r>
          </w:p>
        </w:tc>
        <w:tc>
          <w:tcPr>
            <w:tcW w:w="1493" w:type="dxa"/>
            <w:tcBorders>
              <w:bottom w:val="single" w:sz="4" w:space="0" w:color="auto"/>
            </w:tcBorders>
            <w:vAlign w:val="center"/>
          </w:tcPr>
          <w:p w14:paraId="71B85E87" w14:textId="77777777" w:rsidR="00E738AF" w:rsidRPr="00A132A7" w:rsidRDefault="00E738AF" w:rsidP="00E738AF">
            <w:pPr>
              <w:pStyle w:val="MDPI42tablebody"/>
              <w:rPr>
                <w:rFonts w:eastAsia="MS MinNew Roman"/>
                <w:b/>
                <w:bCs/>
                <w:i/>
                <w:iCs/>
                <w:lang w:val="en-GB"/>
              </w:rPr>
            </w:pPr>
            <w:r w:rsidRPr="00A132A7">
              <w:rPr>
                <w:rFonts w:eastAsia="MS MinNew Roman"/>
                <w:b/>
                <w:bCs/>
                <w:i/>
                <w:iCs/>
                <w:lang w:val="en-GB"/>
              </w:rPr>
              <w:t>Enterobacteriaceae</w:t>
            </w:r>
          </w:p>
        </w:tc>
        <w:tc>
          <w:tcPr>
            <w:tcW w:w="1493" w:type="dxa"/>
            <w:tcBorders>
              <w:bottom w:val="single" w:sz="4" w:space="0" w:color="auto"/>
            </w:tcBorders>
            <w:vAlign w:val="center"/>
          </w:tcPr>
          <w:p w14:paraId="490F642B" w14:textId="1B47A3DA" w:rsidR="00E738AF" w:rsidRPr="00E738AF" w:rsidRDefault="00E738AF" w:rsidP="00E738AF">
            <w:pPr>
              <w:pStyle w:val="MDPI42tablebody"/>
              <w:rPr>
                <w:rFonts w:eastAsia="MS MinNew Roman"/>
                <w:b/>
                <w:bCs/>
                <w:lang w:val="en-GB"/>
              </w:rPr>
            </w:pPr>
            <w:r w:rsidRPr="00E738AF">
              <w:rPr>
                <w:rFonts w:eastAsia="MS MinNew Roman"/>
                <w:b/>
                <w:bCs/>
                <w:lang w:val="en-GB"/>
              </w:rPr>
              <w:t xml:space="preserve">Spore </w:t>
            </w:r>
            <w:r w:rsidR="004905D0" w:rsidRPr="00E738AF">
              <w:rPr>
                <w:rFonts w:eastAsia="MS MinNew Roman"/>
                <w:b/>
                <w:bCs/>
                <w:lang w:val="en-GB"/>
              </w:rPr>
              <w:t>Forming Bacteria</w:t>
            </w:r>
          </w:p>
        </w:tc>
        <w:tc>
          <w:tcPr>
            <w:tcW w:w="1493" w:type="dxa"/>
            <w:tcBorders>
              <w:bottom w:val="single" w:sz="4" w:space="0" w:color="auto"/>
            </w:tcBorders>
            <w:vAlign w:val="center"/>
          </w:tcPr>
          <w:p w14:paraId="6E829AAA" w14:textId="77777777" w:rsidR="00E738AF" w:rsidRPr="00E738AF" w:rsidRDefault="00E738AF" w:rsidP="00E738AF">
            <w:pPr>
              <w:pStyle w:val="MDPI42tablebody"/>
              <w:rPr>
                <w:rFonts w:eastAsia="MS MinNew Roman"/>
                <w:b/>
                <w:bCs/>
                <w:lang w:val="en-GB"/>
              </w:rPr>
            </w:pPr>
            <w:r w:rsidRPr="00E738AF">
              <w:rPr>
                <w:rFonts w:eastAsia="MS MinNew Roman"/>
                <w:b/>
                <w:bCs/>
                <w:lang w:val="en-GB"/>
              </w:rPr>
              <w:t>Eumycetes</w:t>
            </w:r>
          </w:p>
        </w:tc>
      </w:tr>
      <w:tr w:rsidR="00E738AF" w:rsidRPr="008006EA" w14:paraId="3DB2AAE2" w14:textId="77777777" w:rsidTr="00DE7345">
        <w:trPr>
          <w:jc w:val="center"/>
        </w:trPr>
        <w:tc>
          <w:tcPr>
            <w:tcW w:w="1529" w:type="dxa"/>
            <w:shd w:val="clear" w:color="auto" w:fill="auto"/>
          </w:tcPr>
          <w:p w14:paraId="3F8D65AC" w14:textId="77777777" w:rsidR="00E738AF" w:rsidRPr="00E635A6" w:rsidRDefault="00E738AF" w:rsidP="00E738AF">
            <w:pPr>
              <w:pStyle w:val="MDPI42tablebody"/>
              <w:rPr>
                <w:rFonts w:eastAsia="MS MinNew Roman"/>
                <w:lang w:val="en-GB"/>
              </w:rPr>
            </w:pPr>
            <w:r w:rsidRPr="00E635A6">
              <w:rPr>
                <w:rFonts w:eastAsia="MS MinNew Roman"/>
                <w:lang w:val="en-GB"/>
              </w:rPr>
              <w:t>S1</w:t>
            </w:r>
          </w:p>
        </w:tc>
        <w:tc>
          <w:tcPr>
            <w:tcW w:w="1526" w:type="dxa"/>
            <w:shd w:val="clear" w:color="auto" w:fill="auto"/>
          </w:tcPr>
          <w:p w14:paraId="2E823BAC" w14:textId="77777777" w:rsidR="00E738AF" w:rsidRPr="00E635A6" w:rsidRDefault="00E738AF" w:rsidP="00E738AF">
            <w:pPr>
              <w:pStyle w:val="MDPI42tablebody"/>
              <w:rPr>
                <w:rFonts w:eastAsia="MS MinNew Roman"/>
                <w:lang w:val="en-GB"/>
              </w:rPr>
            </w:pPr>
            <w:r w:rsidRPr="00E635A6">
              <w:rPr>
                <w:rFonts w:eastAsia="MS Gothi"/>
                <w:lang w:val="en-GB"/>
              </w:rPr>
              <w:t>2.74</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0.02</w:t>
            </w:r>
          </w:p>
        </w:tc>
        <w:tc>
          <w:tcPr>
            <w:tcW w:w="1526" w:type="dxa"/>
            <w:shd w:val="clear" w:color="auto" w:fill="auto"/>
          </w:tcPr>
          <w:p w14:paraId="5537F433" w14:textId="77777777" w:rsidR="00E738AF" w:rsidRPr="00E635A6" w:rsidRDefault="00E738AF" w:rsidP="00E738AF">
            <w:pPr>
              <w:pStyle w:val="MDPI42tablebody"/>
              <w:rPr>
                <w:rFonts w:eastAsia="MS MinNew Roman"/>
                <w:lang w:val="en-GB"/>
              </w:rPr>
            </w:pPr>
            <w:r w:rsidRPr="00E635A6">
              <w:rPr>
                <w:rFonts w:eastAsia="MS Gothi"/>
                <w:lang w:val="en-GB"/>
              </w:rPr>
              <w:t>1.39</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0.12</w:t>
            </w:r>
          </w:p>
        </w:tc>
        <w:tc>
          <w:tcPr>
            <w:tcW w:w="1493" w:type="dxa"/>
          </w:tcPr>
          <w:p w14:paraId="5EA023A3" w14:textId="77777777" w:rsidR="00E738AF" w:rsidRPr="00E635A6" w:rsidRDefault="00E738AF" w:rsidP="00E738AF">
            <w:pPr>
              <w:pStyle w:val="MDPI42tablebody"/>
              <w:rPr>
                <w:rFonts w:eastAsia="MS MinNew Roman"/>
                <w:lang w:val="en-GB"/>
              </w:rPr>
            </w:pPr>
            <w:r w:rsidRPr="00E635A6">
              <w:rPr>
                <w:rFonts w:eastAsia="MS Gothi"/>
                <w:lang w:val="en-GB"/>
              </w:rPr>
              <w:t>3.96</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0.07</w:t>
            </w:r>
          </w:p>
        </w:tc>
        <w:tc>
          <w:tcPr>
            <w:tcW w:w="1493" w:type="dxa"/>
          </w:tcPr>
          <w:p w14:paraId="40841F9F" w14:textId="77777777" w:rsidR="00E738AF" w:rsidRPr="00E635A6" w:rsidRDefault="00E738AF" w:rsidP="00E738AF">
            <w:pPr>
              <w:pStyle w:val="MDPI42tablebody"/>
              <w:rPr>
                <w:rFonts w:eastAsia="MS MinNew Roman"/>
                <w:lang w:val="en-GB"/>
              </w:rPr>
            </w:pPr>
            <w:r w:rsidRPr="00E635A6">
              <w:rPr>
                <w:rFonts w:eastAsia="MS Gothi"/>
                <w:lang w:val="en-GB"/>
              </w:rPr>
              <w:t>2.81</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0.04</w:t>
            </w:r>
          </w:p>
        </w:tc>
        <w:tc>
          <w:tcPr>
            <w:tcW w:w="1493" w:type="dxa"/>
          </w:tcPr>
          <w:p w14:paraId="27BDF6D2" w14:textId="77777777" w:rsidR="00E738AF" w:rsidRPr="00E635A6" w:rsidRDefault="00E738AF" w:rsidP="00E738AF">
            <w:pPr>
              <w:pStyle w:val="MDPI42tablebody"/>
              <w:rPr>
                <w:rFonts w:eastAsia="MS MinNew Roman"/>
                <w:lang w:val="en-GB"/>
              </w:rPr>
            </w:pPr>
            <w:r w:rsidRPr="00E635A6">
              <w:rPr>
                <w:rFonts w:eastAsia="MS Gothi"/>
                <w:lang w:val="en-GB"/>
              </w:rPr>
              <w:t>1.45</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0.21</w:t>
            </w:r>
          </w:p>
        </w:tc>
      </w:tr>
      <w:tr w:rsidR="00E738AF" w:rsidRPr="008006EA" w14:paraId="4F6FF063" w14:textId="77777777" w:rsidTr="00DE7345">
        <w:trPr>
          <w:jc w:val="center"/>
        </w:trPr>
        <w:tc>
          <w:tcPr>
            <w:tcW w:w="1529" w:type="dxa"/>
            <w:shd w:val="clear" w:color="auto" w:fill="auto"/>
            <w:vAlign w:val="center"/>
          </w:tcPr>
          <w:p w14:paraId="0A527CB7" w14:textId="77777777" w:rsidR="00E738AF" w:rsidRPr="00E635A6" w:rsidRDefault="00E738AF" w:rsidP="00E738AF">
            <w:pPr>
              <w:pStyle w:val="MDPI42tablebody"/>
              <w:rPr>
                <w:rFonts w:eastAsia="MS MinNew Roman"/>
                <w:lang w:val="en-GB"/>
              </w:rPr>
            </w:pPr>
            <w:r w:rsidRPr="00E635A6">
              <w:rPr>
                <w:rFonts w:eastAsia="MS MinNew Roman"/>
                <w:lang w:val="en-GB"/>
              </w:rPr>
              <w:t>S2</w:t>
            </w:r>
          </w:p>
        </w:tc>
        <w:tc>
          <w:tcPr>
            <w:tcW w:w="1526" w:type="dxa"/>
            <w:shd w:val="clear" w:color="auto" w:fill="auto"/>
            <w:vAlign w:val="center"/>
          </w:tcPr>
          <w:p w14:paraId="19873F71" w14:textId="77777777" w:rsidR="00E738AF" w:rsidRPr="00E635A6" w:rsidRDefault="00E738AF" w:rsidP="00E738AF">
            <w:pPr>
              <w:pStyle w:val="MDPI42tablebody"/>
              <w:rPr>
                <w:rFonts w:eastAsia="MS MinNew Roman"/>
                <w:lang w:val="en-GB"/>
              </w:rPr>
            </w:pPr>
            <w:r w:rsidRPr="00E635A6">
              <w:rPr>
                <w:rFonts w:eastAsia="MS Gothi"/>
                <w:lang w:val="en-GB"/>
              </w:rPr>
              <w:t>5.19</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0.02</w:t>
            </w:r>
          </w:p>
        </w:tc>
        <w:tc>
          <w:tcPr>
            <w:tcW w:w="1526" w:type="dxa"/>
            <w:shd w:val="clear" w:color="auto" w:fill="auto"/>
            <w:vAlign w:val="center"/>
          </w:tcPr>
          <w:p w14:paraId="7499860C" w14:textId="77777777" w:rsidR="00E738AF" w:rsidRPr="00E635A6" w:rsidRDefault="00E738AF" w:rsidP="00E738AF">
            <w:pPr>
              <w:pStyle w:val="MDPI42tablebody"/>
              <w:rPr>
                <w:rFonts w:eastAsia="MS MinNew Roman"/>
                <w:lang w:val="en-GB"/>
              </w:rPr>
            </w:pPr>
            <w:r w:rsidRPr="00E635A6">
              <w:rPr>
                <w:rFonts w:eastAsia="MS Gothi"/>
                <w:lang w:val="en-GB"/>
              </w:rPr>
              <w:t>4.98</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0.10</w:t>
            </w:r>
          </w:p>
        </w:tc>
        <w:tc>
          <w:tcPr>
            <w:tcW w:w="1493" w:type="dxa"/>
            <w:vAlign w:val="center"/>
          </w:tcPr>
          <w:p w14:paraId="40B87CCF" w14:textId="77777777" w:rsidR="00E738AF" w:rsidRPr="00E635A6" w:rsidRDefault="00E738AF" w:rsidP="00E738AF">
            <w:pPr>
              <w:pStyle w:val="MDPI42tablebody"/>
              <w:rPr>
                <w:rFonts w:eastAsia="MS MinNew Roman"/>
                <w:lang w:val="en-GB"/>
              </w:rPr>
            </w:pPr>
            <w:r w:rsidRPr="00E635A6">
              <w:rPr>
                <w:rFonts w:eastAsia="MS Gothi"/>
                <w:lang w:val="en-GB"/>
              </w:rPr>
              <w:t>4.24</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0.16</w:t>
            </w:r>
          </w:p>
        </w:tc>
        <w:tc>
          <w:tcPr>
            <w:tcW w:w="1493" w:type="dxa"/>
            <w:vAlign w:val="center"/>
          </w:tcPr>
          <w:p w14:paraId="0098F42F" w14:textId="77777777" w:rsidR="00E738AF" w:rsidRPr="00E635A6" w:rsidRDefault="00E738AF" w:rsidP="00E738AF">
            <w:pPr>
              <w:pStyle w:val="MDPI42tablebody"/>
              <w:rPr>
                <w:rFonts w:eastAsia="MS MinNew Roman"/>
                <w:lang w:val="en-GB"/>
              </w:rPr>
            </w:pPr>
            <w:r w:rsidRPr="00E635A6">
              <w:rPr>
                <w:rFonts w:eastAsia="MS Gothi"/>
                <w:lang w:val="en-GB"/>
              </w:rPr>
              <w:t>3.46</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0.20</w:t>
            </w:r>
          </w:p>
        </w:tc>
        <w:tc>
          <w:tcPr>
            <w:tcW w:w="1493" w:type="dxa"/>
            <w:vAlign w:val="center"/>
          </w:tcPr>
          <w:p w14:paraId="06DC6088" w14:textId="77777777" w:rsidR="00E738AF" w:rsidRPr="00E635A6" w:rsidRDefault="00E738AF" w:rsidP="00E738AF">
            <w:pPr>
              <w:pStyle w:val="MDPI42tablebody"/>
              <w:rPr>
                <w:rFonts w:eastAsia="MS MinNew Roman"/>
                <w:lang w:val="en-GB"/>
              </w:rPr>
            </w:pPr>
            <w:r w:rsidRPr="00E635A6">
              <w:rPr>
                <w:rFonts w:eastAsia="MS Gothi"/>
                <w:lang w:val="en-GB"/>
              </w:rPr>
              <w:t>3.44</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0.11</w:t>
            </w:r>
          </w:p>
        </w:tc>
      </w:tr>
      <w:tr w:rsidR="00E738AF" w:rsidRPr="008006EA" w14:paraId="1EC290D1" w14:textId="77777777" w:rsidTr="00DE7345">
        <w:trPr>
          <w:jc w:val="center"/>
        </w:trPr>
        <w:tc>
          <w:tcPr>
            <w:tcW w:w="1529" w:type="dxa"/>
            <w:shd w:val="clear" w:color="auto" w:fill="auto"/>
            <w:vAlign w:val="center"/>
          </w:tcPr>
          <w:p w14:paraId="1465E70A" w14:textId="77777777" w:rsidR="00E738AF" w:rsidRPr="00E635A6" w:rsidRDefault="00E738AF" w:rsidP="00E738AF">
            <w:pPr>
              <w:pStyle w:val="MDPI42tablebody"/>
              <w:rPr>
                <w:rFonts w:eastAsia="MS MinNew Roman"/>
                <w:lang w:val="en-GB"/>
              </w:rPr>
            </w:pPr>
            <w:r w:rsidRPr="00E635A6">
              <w:rPr>
                <w:rFonts w:eastAsia="MS MinNew Roman"/>
                <w:lang w:val="en-GB"/>
              </w:rPr>
              <w:t>S3</w:t>
            </w:r>
          </w:p>
        </w:tc>
        <w:tc>
          <w:tcPr>
            <w:tcW w:w="1526" w:type="dxa"/>
            <w:shd w:val="clear" w:color="auto" w:fill="auto"/>
            <w:vAlign w:val="center"/>
          </w:tcPr>
          <w:p w14:paraId="245D16FE" w14:textId="77777777" w:rsidR="00E738AF" w:rsidRPr="00E635A6" w:rsidRDefault="00E738AF" w:rsidP="00E738AF">
            <w:pPr>
              <w:pStyle w:val="MDPI42tablebody"/>
              <w:rPr>
                <w:rFonts w:eastAsia="MS MinNew Roman"/>
                <w:lang w:val="en-GB"/>
              </w:rPr>
            </w:pPr>
            <w:r w:rsidRPr="00E635A6">
              <w:rPr>
                <w:rFonts w:eastAsia="MS Gothi"/>
                <w:lang w:val="en-GB"/>
              </w:rPr>
              <w:t>4.64</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0.20</w:t>
            </w:r>
          </w:p>
        </w:tc>
        <w:tc>
          <w:tcPr>
            <w:tcW w:w="1526" w:type="dxa"/>
            <w:shd w:val="clear" w:color="auto" w:fill="auto"/>
            <w:vAlign w:val="center"/>
          </w:tcPr>
          <w:p w14:paraId="2247D622" w14:textId="77777777" w:rsidR="00E738AF" w:rsidRPr="00E635A6" w:rsidRDefault="00E738AF" w:rsidP="00E738AF">
            <w:pPr>
              <w:pStyle w:val="MDPI42tablebody"/>
              <w:rPr>
                <w:rFonts w:eastAsia="MS MinNew Roman"/>
                <w:lang w:val="en-GB"/>
              </w:rPr>
            </w:pPr>
            <w:r w:rsidRPr="00E635A6">
              <w:rPr>
                <w:rFonts w:eastAsia="MS Gothi"/>
                <w:lang w:val="en-GB"/>
              </w:rPr>
              <w:t>3.84</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0.05</w:t>
            </w:r>
          </w:p>
        </w:tc>
        <w:tc>
          <w:tcPr>
            <w:tcW w:w="1493" w:type="dxa"/>
            <w:vAlign w:val="center"/>
          </w:tcPr>
          <w:p w14:paraId="38EE913F" w14:textId="77777777" w:rsidR="00E738AF" w:rsidRPr="00E635A6" w:rsidRDefault="00E738AF" w:rsidP="00E738AF">
            <w:pPr>
              <w:pStyle w:val="MDPI42tablebody"/>
              <w:rPr>
                <w:rFonts w:eastAsia="MS MinNew Roman"/>
                <w:lang w:val="en-GB"/>
              </w:rPr>
            </w:pPr>
            <w:r w:rsidRPr="00E635A6">
              <w:rPr>
                <w:rFonts w:eastAsia="MS Gothi"/>
                <w:lang w:val="en-GB"/>
              </w:rPr>
              <w:t>3.87</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0.08</w:t>
            </w:r>
          </w:p>
        </w:tc>
        <w:tc>
          <w:tcPr>
            <w:tcW w:w="1493" w:type="dxa"/>
            <w:vAlign w:val="center"/>
          </w:tcPr>
          <w:p w14:paraId="3346EEE3" w14:textId="77777777" w:rsidR="00E738AF" w:rsidRPr="00E635A6" w:rsidRDefault="00E738AF" w:rsidP="00E738AF">
            <w:pPr>
              <w:pStyle w:val="MDPI42tablebody"/>
              <w:rPr>
                <w:rFonts w:eastAsia="MS MinNew Roman"/>
                <w:lang w:val="en-GB"/>
              </w:rPr>
            </w:pPr>
            <w:r w:rsidRPr="00E635A6">
              <w:rPr>
                <w:rFonts w:eastAsia="MS Gothi"/>
                <w:lang w:val="en-GB"/>
              </w:rPr>
              <w:t>2.49</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0.08</w:t>
            </w:r>
          </w:p>
        </w:tc>
        <w:tc>
          <w:tcPr>
            <w:tcW w:w="1493" w:type="dxa"/>
            <w:vAlign w:val="center"/>
          </w:tcPr>
          <w:p w14:paraId="43473B81" w14:textId="77777777" w:rsidR="00E738AF" w:rsidRPr="00E635A6" w:rsidRDefault="00E738AF" w:rsidP="00E738AF">
            <w:pPr>
              <w:pStyle w:val="MDPI42tablebody"/>
              <w:rPr>
                <w:rFonts w:eastAsia="MS MinNew Roman"/>
                <w:lang w:val="en-GB"/>
              </w:rPr>
            </w:pPr>
            <w:r w:rsidRPr="00E635A6">
              <w:rPr>
                <w:rFonts w:eastAsia="MS Gothi"/>
                <w:lang w:val="en-GB"/>
              </w:rPr>
              <w:t>3.89</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0.06</w:t>
            </w:r>
          </w:p>
        </w:tc>
      </w:tr>
      <w:tr w:rsidR="00E738AF" w:rsidRPr="008006EA" w14:paraId="2E097A67" w14:textId="77777777" w:rsidTr="00DE7345">
        <w:trPr>
          <w:jc w:val="center"/>
        </w:trPr>
        <w:tc>
          <w:tcPr>
            <w:tcW w:w="1529" w:type="dxa"/>
            <w:shd w:val="clear" w:color="auto" w:fill="auto"/>
            <w:vAlign w:val="center"/>
          </w:tcPr>
          <w:p w14:paraId="293A6A4F" w14:textId="77777777" w:rsidR="00E738AF" w:rsidRPr="00E635A6" w:rsidRDefault="00E738AF" w:rsidP="00E738AF">
            <w:pPr>
              <w:pStyle w:val="MDPI42tablebody"/>
              <w:rPr>
                <w:rFonts w:eastAsia="MS MinNew Roman"/>
                <w:lang w:val="en-GB"/>
              </w:rPr>
            </w:pPr>
            <w:r w:rsidRPr="00E635A6">
              <w:rPr>
                <w:rFonts w:eastAsia="MS MinNew Roman"/>
                <w:lang w:val="en-GB"/>
              </w:rPr>
              <w:t>S4</w:t>
            </w:r>
          </w:p>
        </w:tc>
        <w:tc>
          <w:tcPr>
            <w:tcW w:w="1526" w:type="dxa"/>
            <w:shd w:val="clear" w:color="auto" w:fill="auto"/>
            <w:vAlign w:val="center"/>
          </w:tcPr>
          <w:p w14:paraId="410D1E02" w14:textId="77777777" w:rsidR="00E738AF" w:rsidRPr="00E635A6" w:rsidRDefault="00E738AF" w:rsidP="00E738AF">
            <w:pPr>
              <w:pStyle w:val="MDPI42tablebody"/>
              <w:rPr>
                <w:rFonts w:eastAsia="MS MinNew Roman"/>
                <w:lang w:val="en-GB"/>
              </w:rPr>
            </w:pPr>
            <w:r w:rsidRPr="00E635A6">
              <w:rPr>
                <w:rFonts w:eastAsia="MS Gothi"/>
                <w:lang w:val="en-GB"/>
              </w:rPr>
              <w:t>5.11</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0.02</w:t>
            </w:r>
          </w:p>
        </w:tc>
        <w:tc>
          <w:tcPr>
            <w:tcW w:w="1526" w:type="dxa"/>
            <w:shd w:val="clear" w:color="auto" w:fill="auto"/>
            <w:vAlign w:val="center"/>
          </w:tcPr>
          <w:p w14:paraId="2F450D3E" w14:textId="77777777" w:rsidR="00E738AF" w:rsidRPr="00E635A6" w:rsidRDefault="00E738AF" w:rsidP="00E738AF">
            <w:pPr>
              <w:pStyle w:val="MDPI42tablebody"/>
              <w:rPr>
                <w:rFonts w:eastAsia="MS MinNew Roman"/>
                <w:lang w:val="en-GB"/>
              </w:rPr>
            </w:pPr>
            <w:r w:rsidRPr="00E635A6">
              <w:rPr>
                <w:rFonts w:eastAsia="MS Gothi"/>
                <w:lang w:val="en-GB"/>
              </w:rPr>
              <w:t>5.15</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0.05</w:t>
            </w:r>
          </w:p>
        </w:tc>
        <w:tc>
          <w:tcPr>
            <w:tcW w:w="1493" w:type="dxa"/>
            <w:vAlign w:val="center"/>
          </w:tcPr>
          <w:p w14:paraId="0719C730" w14:textId="77777777" w:rsidR="00E738AF" w:rsidRPr="00E635A6" w:rsidRDefault="00E738AF" w:rsidP="00E738AF">
            <w:pPr>
              <w:pStyle w:val="MDPI42tablebody"/>
              <w:rPr>
                <w:rFonts w:eastAsia="MS MinNew Roman"/>
                <w:lang w:val="en-GB"/>
              </w:rPr>
            </w:pPr>
            <w:r w:rsidRPr="00E635A6">
              <w:rPr>
                <w:rFonts w:eastAsia="MS Gothi"/>
                <w:lang w:val="en-GB"/>
              </w:rPr>
              <w:t>2.59</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0.18</w:t>
            </w:r>
          </w:p>
        </w:tc>
        <w:tc>
          <w:tcPr>
            <w:tcW w:w="1493" w:type="dxa"/>
            <w:vAlign w:val="center"/>
          </w:tcPr>
          <w:p w14:paraId="02FB30BE" w14:textId="77777777" w:rsidR="00E738AF" w:rsidRPr="00E635A6" w:rsidRDefault="00E738AF" w:rsidP="00E738AF">
            <w:pPr>
              <w:pStyle w:val="MDPI42tablebody"/>
              <w:rPr>
                <w:rFonts w:eastAsia="MS MinNew Roman"/>
                <w:lang w:val="en-GB"/>
              </w:rPr>
            </w:pPr>
            <w:r w:rsidRPr="00E635A6">
              <w:rPr>
                <w:rFonts w:eastAsia="MS Gothi"/>
                <w:lang w:val="en-GB"/>
              </w:rPr>
              <w:t>1.15</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1.63</w:t>
            </w:r>
          </w:p>
        </w:tc>
        <w:tc>
          <w:tcPr>
            <w:tcW w:w="1493" w:type="dxa"/>
            <w:vAlign w:val="center"/>
          </w:tcPr>
          <w:p w14:paraId="79899441" w14:textId="77777777" w:rsidR="00E738AF" w:rsidRPr="00E635A6" w:rsidRDefault="00E738AF" w:rsidP="00E738AF">
            <w:pPr>
              <w:pStyle w:val="MDPI42tablebody"/>
              <w:rPr>
                <w:rFonts w:eastAsia="MS MinNew Roman"/>
                <w:lang w:val="en-GB"/>
              </w:rPr>
            </w:pPr>
            <w:r w:rsidRPr="00E635A6">
              <w:rPr>
                <w:rFonts w:eastAsia="MS Gothi"/>
                <w:lang w:val="en-GB"/>
              </w:rPr>
              <w:t>5.28</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0.00</w:t>
            </w:r>
          </w:p>
        </w:tc>
      </w:tr>
      <w:tr w:rsidR="00E738AF" w:rsidRPr="008006EA" w14:paraId="7F2EA2BB" w14:textId="77777777" w:rsidTr="00DE7345">
        <w:trPr>
          <w:jc w:val="center"/>
        </w:trPr>
        <w:tc>
          <w:tcPr>
            <w:tcW w:w="1529" w:type="dxa"/>
            <w:shd w:val="clear" w:color="auto" w:fill="auto"/>
            <w:vAlign w:val="center"/>
          </w:tcPr>
          <w:p w14:paraId="3CA9847B" w14:textId="77777777" w:rsidR="00E738AF" w:rsidRPr="00E635A6" w:rsidRDefault="00E738AF" w:rsidP="00E738AF">
            <w:pPr>
              <w:pStyle w:val="MDPI42tablebody"/>
              <w:rPr>
                <w:rFonts w:eastAsia="MS MinNew Roman"/>
                <w:lang w:val="en-GB"/>
              </w:rPr>
            </w:pPr>
            <w:r w:rsidRPr="00E635A6">
              <w:rPr>
                <w:rFonts w:eastAsia="MS MinNew Roman"/>
                <w:lang w:val="en-GB"/>
              </w:rPr>
              <w:t xml:space="preserve">S5 </w:t>
            </w:r>
          </w:p>
        </w:tc>
        <w:tc>
          <w:tcPr>
            <w:tcW w:w="1526" w:type="dxa"/>
            <w:shd w:val="clear" w:color="auto" w:fill="auto"/>
            <w:vAlign w:val="center"/>
          </w:tcPr>
          <w:p w14:paraId="4E4C2BF7" w14:textId="77777777" w:rsidR="00E738AF" w:rsidRPr="00E635A6" w:rsidRDefault="00E738AF" w:rsidP="00E738AF">
            <w:pPr>
              <w:pStyle w:val="MDPI42tablebody"/>
              <w:rPr>
                <w:rFonts w:eastAsia="MS MinNew Roman"/>
                <w:lang w:val="en-GB"/>
              </w:rPr>
            </w:pPr>
            <w:r w:rsidRPr="00E635A6">
              <w:rPr>
                <w:rFonts w:eastAsia="MS Gothi"/>
                <w:lang w:val="en-GB"/>
              </w:rPr>
              <w:t>6.24</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0.02</w:t>
            </w:r>
          </w:p>
        </w:tc>
        <w:tc>
          <w:tcPr>
            <w:tcW w:w="1526" w:type="dxa"/>
            <w:shd w:val="clear" w:color="auto" w:fill="auto"/>
            <w:vAlign w:val="center"/>
          </w:tcPr>
          <w:p w14:paraId="5B3F6EEE" w14:textId="77777777" w:rsidR="00E738AF" w:rsidRPr="00E635A6" w:rsidRDefault="00E738AF" w:rsidP="00E738AF">
            <w:pPr>
              <w:pStyle w:val="MDPI42tablebody"/>
              <w:rPr>
                <w:rFonts w:eastAsia="MS MinNew Roman"/>
                <w:lang w:val="en-GB"/>
              </w:rPr>
            </w:pPr>
            <w:r w:rsidRPr="00E635A6">
              <w:rPr>
                <w:rFonts w:eastAsia="MS Gothi"/>
                <w:lang w:val="en-GB"/>
              </w:rPr>
              <w:t>6.33</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0.01</w:t>
            </w:r>
          </w:p>
        </w:tc>
        <w:tc>
          <w:tcPr>
            <w:tcW w:w="1493" w:type="dxa"/>
            <w:vAlign w:val="center"/>
          </w:tcPr>
          <w:p w14:paraId="2B8F9640" w14:textId="77777777" w:rsidR="00E738AF" w:rsidRPr="00E635A6" w:rsidRDefault="00E738AF" w:rsidP="00E738AF">
            <w:pPr>
              <w:pStyle w:val="MDPI42tablebody"/>
              <w:rPr>
                <w:rFonts w:eastAsia="MS MinNew Roman"/>
                <w:lang w:val="en-GB"/>
              </w:rPr>
            </w:pPr>
            <w:r w:rsidRPr="00E635A6">
              <w:rPr>
                <w:rFonts w:eastAsia="MS Gothi"/>
                <w:lang w:val="en-GB"/>
              </w:rPr>
              <w:t>n.d.</w:t>
            </w:r>
          </w:p>
        </w:tc>
        <w:tc>
          <w:tcPr>
            <w:tcW w:w="1493" w:type="dxa"/>
            <w:vAlign w:val="center"/>
          </w:tcPr>
          <w:p w14:paraId="3E83DD68" w14:textId="77777777" w:rsidR="00E738AF" w:rsidRPr="00E635A6" w:rsidRDefault="00E738AF" w:rsidP="00E738AF">
            <w:pPr>
              <w:pStyle w:val="MDPI42tablebody"/>
              <w:rPr>
                <w:rFonts w:eastAsia="MS MinNew Roman"/>
                <w:lang w:val="en-GB"/>
              </w:rPr>
            </w:pPr>
            <w:r w:rsidRPr="00E635A6">
              <w:rPr>
                <w:rFonts w:eastAsia="MS Gothi"/>
                <w:lang w:val="en-GB"/>
              </w:rPr>
              <w:t>1.30</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0.43</w:t>
            </w:r>
          </w:p>
        </w:tc>
        <w:tc>
          <w:tcPr>
            <w:tcW w:w="1493" w:type="dxa"/>
            <w:vAlign w:val="center"/>
          </w:tcPr>
          <w:p w14:paraId="63D1B58C" w14:textId="77777777" w:rsidR="00E738AF" w:rsidRPr="00E635A6" w:rsidRDefault="00E738AF" w:rsidP="00E738AF">
            <w:pPr>
              <w:pStyle w:val="MDPI42tablebody"/>
              <w:rPr>
                <w:rFonts w:eastAsia="MS MinNew Roman"/>
                <w:lang w:val="en-GB"/>
              </w:rPr>
            </w:pPr>
            <w:r w:rsidRPr="00E635A6">
              <w:rPr>
                <w:rFonts w:eastAsia="MS Gothi"/>
                <w:lang w:val="en-GB"/>
              </w:rPr>
              <w:t>6.46</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0.04</w:t>
            </w:r>
          </w:p>
        </w:tc>
      </w:tr>
      <w:tr w:rsidR="00E738AF" w:rsidRPr="008006EA" w14:paraId="321C3AB6" w14:textId="77777777" w:rsidTr="00DE7345">
        <w:trPr>
          <w:jc w:val="center"/>
        </w:trPr>
        <w:tc>
          <w:tcPr>
            <w:tcW w:w="1529" w:type="dxa"/>
            <w:shd w:val="clear" w:color="auto" w:fill="auto"/>
            <w:vAlign w:val="center"/>
          </w:tcPr>
          <w:p w14:paraId="3B25EF32" w14:textId="77777777" w:rsidR="00E738AF" w:rsidRPr="00E635A6" w:rsidRDefault="00E738AF" w:rsidP="00E738AF">
            <w:pPr>
              <w:pStyle w:val="MDPI42tablebody"/>
              <w:rPr>
                <w:rFonts w:eastAsia="MS MinNew Roman"/>
                <w:lang w:val="en-GB"/>
              </w:rPr>
            </w:pPr>
            <w:r w:rsidRPr="00E738AF">
              <w:rPr>
                <w:rFonts w:eastAsia="MS MinNew Roman"/>
                <w:lang w:val="en-GB"/>
              </w:rPr>
              <w:t xml:space="preserve">OP </w:t>
            </w:r>
          </w:p>
        </w:tc>
        <w:tc>
          <w:tcPr>
            <w:tcW w:w="1526" w:type="dxa"/>
            <w:shd w:val="clear" w:color="auto" w:fill="auto"/>
            <w:vAlign w:val="center"/>
          </w:tcPr>
          <w:p w14:paraId="39563665" w14:textId="77777777" w:rsidR="00E738AF" w:rsidRPr="00E635A6" w:rsidRDefault="00E738AF" w:rsidP="00E738AF">
            <w:pPr>
              <w:pStyle w:val="MDPI42tablebody"/>
              <w:rPr>
                <w:rFonts w:eastAsia="MS Gothi"/>
                <w:lang w:val="en-GB"/>
              </w:rPr>
            </w:pPr>
            <w:r w:rsidRPr="00E635A6">
              <w:rPr>
                <w:rFonts w:eastAsia="MS Gothi"/>
                <w:lang w:val="en-GB"/>
              </w:rPr>
              <w:t>6.08</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0.02</w:t>
            </w:r>
          </w:p>
        </w:tc>
        <w:tc>
          <w:tcPr>
            <w:tcW w:w="1526" w:type="dxa"/>
            <w:shd w:val="clear" w:color="auto" w:fill="auto"/>
            <w:vAlign w:val="center"/>
          </w:tcPr>
          <w:p w14:paraId="3B718361" w14:textId="77777777" w:rsidR="00E738AF" w:rsidRPr="00E635A6" w:rsidRDefault="00E738AF" w:rsidP="00E738AF">
            <w:pPr>
              <w:pStyle w:val="MDPI42tablebody"/>
              <w:rPr>
                <w:rFonts w:eastAsia="MS Gothi"/>
                <w:lang w:val="en-GB"/>
              </w:rPr>
            </w:pPr>
            <w:r w:rsidRPr="00E635A6">
              <w:rPr>
                <w:rFonts w:eastAsia="MS Gothi"/>
                <w:lang w:val="en-GB"/>
              </w:rPr>
              <w:t>5.95</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0.08</w:t>
            </w:r>
          </w:p>
        </w:tc>
        <w:tc>
          <w:tcPr>
            <w:tcW w:w="1493" w:type="dxa"/>
            <w:vAlign w:val="center"/>
          </w:tcPr>
          <w:p w14:paraId="0CC9ED0B" w14:textId="77777777" w:rsidR="00E738AF" w:rsidRPr="00E635A6" w:rsidRDefault="00E738AF" w:rsidP="00E738AF">
            <w:pPr>
              <w:pStyle w:val="MDPI42tablebody"/>
              <w:rPr>
                <w:rFonts w:eastAsia="MS Gothi"/>
                <w:lang w:val="en-GB"/>
              </w:rPr>
            </w:pPr>
            <w:r w:rsidRPr="00E635A6">
              <w:rPr>
                <w:rFonts w:eastAsia="MS Gothi"/>
                <w:lang w:val="en-GB"/>
              </w:rPr>
              <w:t>1.00</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0.00</w:t>
            </w:r>
          </w:p>
        </w:tc>
        <w:tc>
          <w:tcPr>
            <w:tcW w:w="1493" w:type="dxa"/>
            <w:vAlign w:val="center"/>
          </w:tcPr>
          <w:p w14:paraId="39977971" w14:textId="77777777" w:rsidR="00E738AF" w:rsidRPr="00E635A6" w:rsidRDefault="00E738AF" w:rsidP="00E738AF">
            <w:pPr>
              <w:pStyle w:val="MDPI42tablebody"/>
              <w:rPr>
                <w:rFonts w:eastAsia="MS Gothi"/>
                <w:lang w:val="en-GB"/>
              </w:rPr>
            </w:pPr>
            <w:r w:rsidRPr="00E635A6">
              <w:rPr>
                <w:rFonts w:eastAsia="MS Gothi"/>
                <w:lang w:val="en-GB"/>
              </w:rPr>
              <w:t>0.65</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0.92</w:t>
            </w:r>
          </w:p>
        </w:tc>
        <w:tc>
          <w:tcPr>
            <w:tcW w:w="1493" w:type="dxa"/>
            <w:vAlign w:val="center"/>
          </w:tcPr>
          <w:p w14:paraId="031AB19B" w14:textId="77777777" w:rsidR="00E738AF" w:rsidRPr="00E635A6" w:rsidRDefault="00E738AF" w:rsidP="00E738AF">
            <w:pPr>
              <w:pStyle w:val="MDPI42tablebody"/>
              <w:rPr>
                <w:rFonts w:eastAsia="MS Gothi"/>
                <w:lang w:val="en-GB"/>
              </w:rPr>
            </w:pPr>
            <w:r w:rsidRPr="00E635A6">
              <w:rPr>
                <w:rFonts w:eastAsia="MS Gothi"/>
                <w:lang w:val="en-GB"/>
              </w:rPr>
              <w:t>6.33</w:t>
            </w:r>
            <w:r>
              <w:rPr>
                <w:rFonts w:eastAsia="MS Gothi"/>
                <w:lang w:val="en-GB"/>
              </w:rPr>
              <w:t xml:space="preserve"> </w:t>
            </w:r>
            <w:r w:rsidRPr="00E635A6">
              <w:rPr>
                <w:rFonts w:eastAsia="MS Gothi"/>
                <w:lang w:val="en-GB"/>
              </w:rPr>
              <w:t>±</w:t>
            </w:r>
            <w:r>
              <w:rPr>
                <w:rFonts w:eastAsia="MS Gothi"/>
                <w:lang w:val="en-GB"/>
              </w:rPr>
              <w:t xml:space="preserve"> </w:t>
            </w:r>
            <w:r w:rsidRPr="00E635A6">
              <w:rPr>
                <w:rFonts w:eastAsia="MS Gothi"/>
                <w:lang w:val="en-GB"/>
              </w:rPr>
              <w:t>0.07</w:t>
            </w:r>
          </w:p>
        </w:tc>
      </w:tr>
    </w:tbl>
    <w:p w14:paraId="000522D4" w14:textId="77777777" w:rsidR="00E738AF" w:rsidRPr="00312DD0" w:rsidRDefault="00E738AF" w:rsidP="004905D0">
      <w:pPr>
        <w:pStyle w:val="MDPI43tablefooter"/>
        <w:ind w:left="425" w:right="425"/>
      </w:pPr>
      <w:r w:rsidRPr="008006EA">
        <w:rPr>
          <w:vertAlign w:val="superscript"/>
        </w:rPr>
        <w:t>1</w:t>
      </w:r>
      <w:r>
        <w:t xml:space="preserve"> </w:t>
      </w:r>
      <w:r w:rsidR="007652B7" w:rsidRPr="007652B7">
        <w:t xml:space="preserve">S1: 100% organic wheat flour; S2: 100% organic wheat middlings; S3: 25% organic wheat middlings / 75% organic olive pomace; S3: 50% organic wheat middlings / 50% organic olive pomace; S3: 75% organic wheat middlings / 25% organic olive pomace; OP: 100% </w:t>
      </w:r>
      <w:r w:rsidR="007652B7">
        <w:t xml:space="preserve">organic </w:t>
      </w:r>
      <w:r w:rsidR="007652B7" w:rsidRPr="007652B7">
        <w:t>olive pomace. n.d., not detectable</w:t>
      </w:r>
      <w:r>
        <w:t>.</w:t>
      </w:r>
    </w:p>
    <w:p w14:paraId="6015C6CD" w14:textId="77777777" w:rsidR="00E738AF" w:rsidRDefault="007652B7" w:rsidP="00243653">
      <w:pPr>
        <w:pStyle w:val="MDPI31text"/>
      </w:pPr>
      <w:r w:rsidRPr="007652B7">
        <w:t>Counts of total mesophilic aerobes ranged between 2.74 and 6.24 log cfu g</w:t>
      </w:r>
      <w:r w:rsidRPr="007652B7">
        <w:rPr>
          <w:vertAlign w:val="superscript"/>
        </w:rPr>
        <w:t>-1</w:t>
      </w:r>
      <w:r w:rsidRPr="007652B7">
        <w:t>, whereas average values for lactic acid bacteria were comprised between 1.39 and 6.33 log cfu g</w:t>
      </w:r>
      <w:r w:rsidRPr="007652B7">
        <w:rPr>
          <w:i/>
          <w:iCs/>
        </w:rPr>
        <w:t>-1</w:t>
      </w:r>
      <w:r w:rsidRPr="007652B7">
        <w:t xml:space="preserve">. </w:t>
      </w:r>
      <w:r w:rsidRPr="00A132A7">
        <w:rPr>
          <w:i/>
          <w:iCs/>
        </w:rPr>
        <w:t>Enterobacteriaceae</w:t>
      </w:r>
      <w:r w:rsidRPr="007652B7">
        <w:t xml:space="preserve"> ranged between 1.00 and 3.96 log cfu g</w:t>
      </w:r>
      <w:r w:rsidRPr="007652B7">
        <w:rPr>
          <w:vertAlign w:val="superscript"/>
        </w:rPr>
        <w:t>-1</w:t>
      </w:r>
      <w:r w:rsidRPr="007652B7">
        <w:t>; no counts were evidenced in S5. Spore forming bacteria were between 0.65 and 2.81 log cfu g</w:t>
      </w:r>
      <w:r w:rsidRPr="007652B7">
        <w:rPr>
          <w:vertAlign w:val="superscript"/>
        </w:rPr>
        <w:t>-1</w:t>
      </w:r>
      <w:r w:rsidRPr="007652B7">
        <w:t>, while Eumycetes were between 1.45 and 6.46 log cfu g</w:t>
      </w:r>
      <w:r w:rsidRPr="007652B7">
        <w:rPr>
          <w:vertAlign w:val="superscript"/>
        </w:rPr>
        <w:t>-1</w:t>
      </w:r>
      <w:r w:rsidRPr="007652B7">
        <w:t xml:space="preserve">. </w:t>
      </w:r>
      <w:r w:rsidRPr="007652B7">
        <w:rPr>
          <w:i/>
          <w:iCs/>
        </w:rPr>
        <w:t>L. monocytogenes</w:t>
      </w:r>
      <w:r w:rsidRPr="007652B7">
        <w:t xml:space="preserve"> and </w:t>
      </w:r>
      <w:r w:rsidRPr="007652B7">
        <w:rPr>
          <w:i/>
          <w:iCs/>
        </w:rPr>
        <w:t>Salmonella</w:t>
      </w:r>
      <w:r w:rsidRPr="007652B7">
        <w:t xml:space="preserve"> spp. were not detected in any samples analyzed.</w:t>
      </w:r>
    </w:p>
    <w:p w14:paraId="3E78919F" w14:textId="7395B0D4" w:rsidR="00E738AF" w:rsidRDefault="007652B7" w:rsidP="00243653">
      <w:pPr>
        <w:pStyle w:val="MDPI31text"/>
      </w:pPr>
      <w:r w:rsidRPr="007652B7">
        <w:t xml:space="preserve">The counts of total mesophilic aerobes and spore forming bacteria were comparable with those obtained </w:t>
      </w:r>
      <w:r w:rsidRPr="00E63A1F">
        <w:t xml:space="preserve">by Osimani et al. </w:t>
      </w:r>
      <w:r w:rsidR="00E63A1F" w:rsidRPr="00E63A1F">
        <w:t>[</w:t>
      </w:r>
      <w:r w:rsidR="00EB4E2C">
        <w:t>53</w:t>
      </w:r>
      <w:r w:rsidR="00E63A1F" w:rsidRPr="00E63A1F">
        <w:t>]</w:t>
      </w:r>
      <w:r w:rsidRPr="00E63A1F">
        <w:t xml:space="preserve"> in</w:t>
      </w:r>
      <w:r w:rsidRPr="007652B7">
        <w:t xml:space="preserve"> the same rearing substrate, whereas lactic acid bacteria and </w:t>
      </w:r>
      <w:r w:rsidRPr="00A132A7">
        <w:rPr>
          <w:i/>
          <w:iCs/>
        </w:rPr>
        <w:t>Enterobacteriaceae</w:t>
      </w:r>
      <w:r w:rsidRPr="007652B7">
        <w:t xml:space="preserve"> were notably higher than those previously counted by the same authors. It is known </w:t>
      </w:r>
      <w:r w:rsidRPr="007652B7">
        <w:lastRenderedPageBreak/>
        <w:t xml:space="preserve">that </w:t>
      </w:r>
      <w:r w:rsidRPr="00A132A7">
        <w:rPr>
          <w:i/>
          <w:iCs/>
        </w:rPr>
        <w:t>Enterobacteriaceae</w:t>
      </w:r>
      <w:r w:rsidRPr="007652B7">
        <w:t xml:space="preserve"> are suitable hygiene indicators, hence their massive presence in the rearing substrate can affect the final microbiota of mealworms. Total mesophilic aerobes and spore forming bacteria of organic wheat flour were in the range reported </w:t>
      </w:r>
      <w:r w:rsidRPr="00E63A1F">
        <w:t xml:space="preserve">by Alfonzo et al. </w:t>
      </w:r>
      <w:r w:rsidR="00E63A1F" w:rsidRPr="00E63A1F">
        <w:t>[</w:t>
      </w:r>
      <w:r w:rsidR="00EB4E2C">
        <w:t>54</w:t>
      </w:r>
      <w:r w:rsidR="00E63A1F" w:rsidRPr="00E63A1F">
        <w:t>]</w:t>
      </w:r>
      <w:r w:rsidRPr="00E63A1F">
        <w:t>, w</w:t>
      </w:r>
      <w:r w:rsidRPr="007652B7">
        <w:t xml:space="preserve">hereas </w:t>
      </w:r>
      <w:r w:rsidRPr="00A132A7">
        <w:rPr>
          <w:i/>
          <w:iCs/>
        </w:rPr>
        <w:t>Enterobacteriaceae</w:t>
      </w:r>
      <w:r w:rsidRPr="007652B7">
        <w:t xml:space="preserve"> were higher than those reported by </w:t>
      </w:r>
      <w:r w:rsidRPr="00ED4C78">
        <w:t xml:space="preserve">Burns et al. </w:t>
      </w:r>
      <w:r w:rsidR="00ED4C78" w:rsidRPr="00ED4C78">
        <w:t>[</w:t>
      </w:r>
      <w:r w:rsidR="00EB4E2C">
        <w:t>55</w:t>
      </w:r>
      <w:r w:rsidR="00ED4C78" w:rsidRPr="00ED4C78">
        <w:t>]</w:t>
      </w:r>
      <w:r w:rsidRPr="00ED4C78">
        <w:t>. Spore</w:t>
      </w:r>
      <w:r w:rsidRPr="007652B7">
        <w:t xml:space="preserve"> forming bacteria in organic wheat flour were in the range reported </w:t>
      </w:r>
      <w:r w:rsidRPr="007E648B">
        <w:t xml:space="preserve">by Valerio et al. </w:t>
      </w:r>
      <w:r w:rsidR="007E648B" w:rsidRPr="007E648B">
        <w:t>[</w:t>
      </w:r>
      <w:r w:rsidR="00557D05">
        <w:t>5</w:t>
      </w:r>
      <w:r w:rsidR="00EB4E2C">
        <w:t>6</w:t>
      </w:r>
      <w:r w:rsidR="007E648B" w:rsidRPr="007E648B">
        <w:t>]</w:t>
      </w:r>
      <w:r w:rsidRPr="007E648B">
        <w:t>.</w:t>
      </w:r>
      <w:r w:rsidRPr="007652B7">
        <w:t xml:space="preserve"> Regarding eumycetes counted in the two cereal-based feeding substrates, it is noteworthy that such microbial group naturally occurs in cereal matrices. The presence of </w:t>
      </w:r>
      <w:r w:rsidRPr="00A132A7">
        <w:rPr>
          <w:i/>
          <w:iCs/>
        </w:rPr>
        <w:t>Enterobacteriaceae</w:t>
      </w:r>
      <w:r w:rsidRPr="007652B7">
        <w:t xml:space="preserve"> in olive pomace has already been reported by </w:t>
      </w:r>
      <w:r w:rsidRPr="007E648B">
        <w:t xml:space="preserve">Pepi et al. </w:t>
      </w:r>
      <w:r w:rsidR="007E648B" w:rsidRPr="007E648B">
        <w:t>[</w:t>
      </w:r>
      <w:r w:rsidR="00557D05" w:rsidRPr="007E648B">
        <w:t>5</w:t>
      </w:r>
      <w:r w:rsidR="00EB4E2C">
        <w:t>7</w:t>
      </w:r>
      <w:r w:rsidR="007E648B" w:rsidRPr="007E648B">
        <w:t>]</w:t>
      </w:r>
      <w:r w:rsidRPr="007652B7">
        <w:t xml:space="preserve"> </w:t>
      </w:r>
      <w:r w:rsidRPr="007E648B">
        <w:t xml:space="preserve">whereas Ertuğrul et al. </w:t>
      </w:r>
      <w:r w:rsidR="007E648B" w:rsidRPr="007E648B">
        <w:t>[</w:t>
      </w:r>
      <w:r w:rsidR="00557D05" w:rsidRPr="007E648B">
        <w:t>5</w:t>
      </w:r>
      <w:r w:rsidR="00EB4E2C">
        <w:t>8</w:t>
      </w:r>
      <w:r w:rsidR="007E648B" w:rsidRPr="007E648B">
        <w:t>]</w:t>
      </w:r>
      <w:r w:rsidRPr="007E648B">
        <w:t xml:space="preserve"> demonstrated</w:t>
      </w:r>
      <w:r w:rsidRPr="007652B7">
        <w:t xml:space="preserve"> the presence of spore forming bacteria (</w:t>
      </w:r>
      <w:r w:rsidRPr="007652B7">
        <w:rPr>
          <w:i/>
          <w:iCs/>
        </w:rPr>
        <w:t>Bacillus</w:t>
      </w:r>
      <w:r w:rsidRPr="007652B7">
        <w:t xml:space="preserve"> spp.) in olive mill wastewater. Olive wastes could have high Eumycetes and lactic acid bacteria loads, that are typically found on olive surface and oil production environment </w:t>
      </w:r>
      <w:r w:rsidR="007E648B">
        <w:t>[</w:t>
      </w:r>
      <w:r w:rsidR="00557D05">
        <w:t>5</w:t>
      </w:r>
      <w:r w:rsidR="00EB4E2C">
        <w:t>9</w:t>
      </w:r>
      <w:r w:rsidR="007E648B">
        <w:t xml:space="preserve">, </w:t>
      </w:r>
      <w:r w:rsidR="00EB4E2C">
        <w:t>60</w:t>
      </w:r>
      <w:r w:rsidR="007E648B">
        <w:t>]</w:t>
      </w:r>
      <w:r w:rsidRPr="007652B7">
        <w:t>, thus explaining the high counts of these two microbial groups in this substrate. Finally, the mixed feeds reflected the microbial loads detected in the starting raw materials.</w:t>
      </w:r>
    </w:p>
    <w:p w14:paraId="32775EB9" w14:textId="77777777" w:rsidR="00243653" w:rsidRPr="008006EA" w:rsidRDefault="00243653" w:rsidP="00243653">
      <w:pPr>
        <w:pStyle w:val="MDPI21heading1"/>
      </w:pPr>
      <w:r w:rsidRPr="008006EA">
        <w:t>References</w:t>
      </w:r>
    </w:p>
    <w:p w14:paraId="58B01FA0" w14:textId="099A4841" w:rsidR="00906DDF" w:rsidRDefault="00906DDF" w:rsidP="00906DDF">
      <w:pPr>
        <w:pStyle w:val="MDPI71References"/>
        <w:numPr>
          <w:ilvl w:val="0"/>
          <w:numId w:val="0"/>
        </w:numPr>
        <w:ind w:left="780" w:hanging="420"/>
      </w:pPr>
      <w:r>
        <w:t>29.</w:t>
      </w:r>
      <w:r>
        <w:tab/>
      </w:r>
      <w:r w:rsidR="00FF68E8" w:rsidRPr="000F7F4C">
        <w:rPr>
          <w:lang w:val="en-GB"/>
        </w:rPr>
        <w:t xml:space="preserve">Osimani, A.; Garofalo, C.; Milanović, V.; Taccari, M.; Cardinali, F.; Aquilanti, L.; </w:t>
      </w:r>
      <w:r w:rsidR="00FF68E8">
        <w:rPr>
          <w:lang w:val="en-GB"/>
        </w:rPr>
        <w:t>Pasquini, A.; Mozzon, M.; Raffaelli, N.; Ruschioni, S.; Riolo, P.; Isidoro, N.; Clementi, F.</w:t>
      </w:r>
      <w:r w:rsidR="00FF68E8" w:rsidRPr="000F7F4C">
        <w:rPr>
          <w:lang w:val="en-GB"/>
        </w:rPr>
        <w:t xml:space="preserve"> </w:t>
      </w:r>
      <w:r w:rsidR="00FF68E8" w:rsidRPr="002924B9">
        <w:t xml:space="preserve">Insight into the proximate composition and microbial diversity of edible insects marketed in the European Union. </w:t>
      </w:r>
      <w:r w:rsidR="00FF68E8" w:rsidRPr="00192BB8">
        <w:rPr>
          <w:i/>
          <w:iCs/>
        </w:rPr>
        <w:t>Eur Food Res Technol</w:t>
      </w:r>
      <w:r w:rsidR="00FF68E8" w:rsidRPr="002924B9">
        <w:t xml:space="preserve">. </w:t>
      </w:r>
      <w:r w:rsidR="00FF68E8" w:rsidRPr="000F7F4C">
        <w:rPr>
          <w:b/>
          <w:bCs/>
        </w:rPr>
        <w:t>2017</w:t>
      </w:r>
      <w:r w:rsidR="00FF68E8">
        <w:t xml:space="preserve">, </w:t>
      </w:r>
      <w:r w:rsidR="00FF68E8" w:rsidRPr="002924B9">
        <w:t>243</w:t>
      </w:r>
      <w:r w:rsidR="00FF68E8">
        <w:t xml:space="preserve">, </w:t>
      </w:r>
      <w:r w:rsidR="00FF68E8" w:rsidRPr="002924B9">
        <w:t>1157–</w:t>
      </w:r>
      <w:r w:rsidR="00FF68E8">
        <w:t>11</w:t>
      </w:r>
      <w:r w:rsidR="00FF68E8" w:rsidRPr="002924B9">
        <w:t>71.</w:t>
      </w:r>
    </w:p>
    <w:p w14:paraId="5F7521C6" w14:textId="0DAE0544" w:rsidR="00B61C94" w:rsidRDefault="00FF68E8" w:rsidP="00EB4E2C">
      <w:pPr>
        <w:pStyle w:val="MDPI71References"/>
        <w:numPr>
          <w:ilvl w:val="0"/>
          <w:numId w:val="7"/>
        </w:numPr>
      </w:pPr>
      <w:r>
        <w:t xml:space="preserve">EFSA Scientific Committee. Risk profile related to production and consumption of insects as food and feed. </w:t>
      </w:r>
      <w:r w:rsidRPr="00EB4E2C">
        <w:rPr>
          <w:i/>
          <w:iCs/>
        </w:rPr>
        <w:t>EFSA Journal</w:t>
      </w:r>
      <w:r>
        <w:t xml:space="preserve"> </w:t>
      </w:r>
      <w:r w:rsidRPr="00EB4E2C">
        <w:rPr>
          <w:b/>
          <w:bCs/>
        </w:rPr>
        <w:t>2015</w:t>
      </w:r>
      <w:r>
        <w:t>, 13, 4257.</w:t>
      </w:r>
    </w:p>
    <w:p w14:paraId="2B9D8BC3" w14:textId="216ACC75" w:rsidR="00B61C94" w:rsidRPr="00FF68E8" w:rsidRDefault="00FF68E8" w:rsidP="00FF68E8">
      <w:pPr>
        <w:pStyle w:val="MDPI71References"/>
      </w:pPr>
      <w:r w:rsidRPr="00FF68E8">
        <w:rPr>
          <w:lang w:val="it-IT"/>
        </w:rPr>
        <w:t>Osimani, A.; Milanović, V.; Cardinali, F.; Garofalo, C.; Clementi, F.; Pasquini, M.; Riolo, P.; Ruschioni, S.; Isidoro, N.; Loreto, N.; Franciosi, E.; Tuohy, K.; Petruzzelli, A.; Foglini, M.; Gabucci, C.; Tonucci, F.; Aquilanti, L. The bacterial biota of laboratory-reared edible mealworms (</w:t>
      </w:r>
      <w:r w:rsidRPr="00FF68E8">
        <w:rPr>
          <w:i/>
          <w:iCs/>
          <w:lang w:val="it-IT"/>
        </w:rPr>
        <w:t>Tenebrio molitor</w:t>
      </w:r>
      <w:r w:rsidRPr="00FF68E8">
        <w:rPr>
          <w:lang w:val="it-IT"/>
        </w:rPr>
        <w:t xml:space="preserve"> L.): From feed to frass. </w:t>
      </w:r>
      <w:r w:rsidRPr="00FF68E8">
        <w:rPr>
          <w:i/>
          <w:iCs/>
        </w:rPr>
        <w:t>Int J Food Microbiol</w:t>
      </w:r>
      <w:r>
        <w:t xml:space="preserve"> </w:t>
      </w:r>
      <w:r w:rsidRPr="00FF68E8">
        <w:rPr>
          <w:b/>
          <w:bCs/>
        </w:rPr>
        <w:t>2018</w:t>
      </w:r>
      <w:r>
        <w:t xml:space="preserve">, </w:t>
      </w:r>
      <w:r w:rsidRPr="00FF68E8">
        <w:t>272, 49–60</w:t>
      </w:r>
      <w:r w:rsidR="00B61C94" w:rsidRPr="00FF68E8">
        <w:t>.</w:t>
      </w:r>
    </w:p>
    <w:p w14:paraId="560781B8" w14:textId="680AD291" w:rsidR="00243653" w:rsidRPr="008006EA" w:rsidRDefault="00E63A1F" w:rsidP="00243653">
      <w:pPr>
        <w:pStyle w:val="MDPI71References"/>
      </w:pPr>
      <w:r w:rsidRPr="00E63A1F">
        <w:t xml:space="preserve">Alfonzo, A.; Miceli, C.; Nasca, A.; Franciosi, E.; Ventimiglia, G.; Di Gerlando, R.; Tuohy, K.; Francesca, N.; Moschetti, G.; Settanni, L. Monitoring of wheat lactic acid bacteria from the field until the first step of dough fermentation. </w:t>
      </w:r>
      <w:r w:rsidRPr="00E63A1F">
        <w:rPr>
          <w:i/>
          <w:iCs/>
        </w:rPr>
        <w:t>Food Microbiol</w:t>
      </w:r>
      <w:r w:rsidRPr="00E63A1F">
        <w:t xml:space="preserve"> </w:t>
      </w:r>
      <w:r w:rsidRPr="00E63A1F">
        <w:rPr>
          <w:b/>
          <w:bCs/>
        </w:rPr>
        <w:t>2017</w:t>
      </w:r>
      <w:r>
        <w:t xml:space="preserve">, </w:t>
      </w:r>
      <w:r w:rsidRPr="00E63A1F">
        <w:t>62, 256–269.</w:t>
      </w:r>
    </w:p>
    <w:p w14:paraId="79084D6D" w14:textId="5B0644F0" w:rsidR="00243653" w:rsidRPr="008006EA" w:rsidRDefault="00F6448A" w:rsidP="00243653">
      <w:pPr>
        <w:pStyle w:val="MDPI71References"/>
      </w:pPr>
      <w:r w:rsidRPr="00F6448A">
        <w:t>Burns, A.M.</w:t>
      </w:r>
      <w:r>
        <w:t>;</w:t>
      </w:r>
      <w:r w:rsidRPr="00F6448A">
        <w:t xml:space="preserve"> Lawlor, P.G.</w:t>
      </w:r>
      <w:r>
        <w:t>;</w:t>
      </w:r>
      <w:r w:rsidRPr="00F6448A">
        <w:t xml:space="preserve"> Gardiner, G.E.</w:t>
      </w:r>
      <w:r>
        <w:t>;</w:t>
      </w:r>
      <w:r w:rsidRPr="00F6448A">
        <w:t xml:space="preserve"> McCabe, E.M.</w:t>
      </w:r>
      <w:r>
        <w:t>;</w:t>
      </w:r>
      <w:r w:rsidRPr="00F6448A">
        <w:t xml:space="preserve"> Walsh, D.</w:t>
      </w:r>
      <w:r>
        <w:t>;</w:t>
      </w:r>
      <w:r w:rsidRPr="00F6448A">
        <w:t xml:space="preserve"> Mohammed, M.</w:t>
      </w:r>
      <w:r>
        <w:t xml:space="preserve">; Grant, J.; </w:t>
      </w:r>
      <w:r w:rsidRPr="00F6448A">
        <w:t>Duffy, G.</w:t>
      </w:r>
      <w:bookmarkStart w:id="0" w:name="_GoBack"/>
      <w:bookmarkEnd w:id="0"/>
      <w:r w:rsidRPr="00F6448A">
        <w:t xml:space="preserve"> </w:t>
      </w:r>
      <w:r w:rsidRPr="00F6448A">
        <w:rPr>
          <w:i/>
          <w:iCs/>
        </w:rPr>
        <w:t>Salmonella</w:t>
      </w:r>
      <w:r w:rsidRPr="00F6448A">
        <w:t xml:space="preserve"> occurrence and </w:t>
      </w:r>
      <w:r w:rsidRPr="00F6448A">
        <w:rPr>
          <w:i/>
          <w:iCs/>
        </w:rPr>
        <w:t>Enterobacteriaceae</w:t>
      </w:r>
      <w:r w:rsidRPr="00F6448A">
        <w:t xml:space="preserve"> counts in pig feed ingredients and compound feed from feed mills in Ireland. </w:t>
      </w:r>
      <w:r w:rsidRPr="00F6448A">
        <w:rPr>
          <w:i/>
          <w:iCs/>
        </w:rPr>
        <w:t>Prev Vet Med</w:t>
      </w:r>
      <w:r w:rsidRPr="00F6448A">
        <w:t xml:space="preserve"> </w:t>
      </w:r>
      <w:r w:rsidRPr="00F6448A">
        <w:rPr>
          <w:b/>
          <w:bCs/>
        </w:rPr>
        <w:t>2015</w:t>
      </w:r>
      <w:r>
        <w:t xml:space="preserve">, </w:t>
      </w:r>
      <w:r w:rsidRPr="00F6448A">
        <w:t>121, 231–239</w:t>
      </w:r>
      <w:r w:rsidR="00243653" w:rsidRPr="008006EA">
        <w:t>.</w:t>
      </w:r>
    </w:p>
    <w:p w14:paraId="4E8F49C7" w14:textId="3F50E87D" w:rsidR="00243653" w:rsidRPr="008006EA" w:rsidRDefault="00A132A7" w:rsidP="00243653">
      <w:pPr>
        <w:pStyle w:val="MDPI71References"/>
      </w:pPr>
      <w:r w:rsidRPr="00A132A7">
        <w:rPr>
          <w:lang w:val="en-GB"/>
        </w:rPr>
        <w:t xml:space="preserve">Valerio, F.; De Bellis, P.; Di Biase, M.; Lonigro, S.L.; Giussani, B.; Visconti, A.; Lavermicocca, P.; Sisto, A. </w:t>
      </w:r>
      <w:r w:rsidRPr="00A132A7">
        <w:t xml:space="preserve">Diversity of spore-forming bacteria and identification of </w:t>
      </w:r>
      <w:r w:rsidRPr="00A132A7">
        <w:rPr>
          <w:i/>
          <w:iCs/>
        </w:rPr>
        <w:t>Bacillus amyloliquefaciens</w:t>
      </w:r>
      <w:r w:rsidRPr="00A132A7">
        <w:t xml:space="preserve"> as a species frequently associated with the ropy spoilage of bread. </w:t>
      </w:r>
      <w:r w:rsidRPr="00A132A7">
        <w:rPr>
          <w:i/>
          <w:iCs/>
        </w:rPr>
        <w:t>Int J Food Microbiol</w:t>
      </w:r>
      <w:r w:rsidRPr="00A132A7">
        <w:t xml:space="preserve"> </w:t>
      </w:r>
      <w:r w:rsidRPr="00A132A7">
        <w:rPr>
          <w:b/>
          <w:bCs/>
          <w:lang w:val="en-GB"/>
        </w:rPr>
        <w:t>2012</w:t>
      </w:r>
      <w:r>
        <w:rPr>
          <w:lang w:val="en-GB"/>
        </w:rPr>
        <w:t>,</w:t>
      </w:r>
      <w:r w:rsidRPr="00A132A7">
        <w:rPr>
          <w:lang w:val="en-GB"/>
        </w:rPr>
        <w:t xml:space="preserve"> </w:t>
      </w:r>
      <w:r w:rsidRPr="00A132A7">
        <w:t>156, 278–285</w:t>
      </w:r>
      <w:r w:rsidR="00243653" w:rsidRPr="008006EA">
        <w:t>.</w:t>
      </w:r>
    </w:p>
    <w:p w14:paraId="6A0E48CF" w14:textId="1924184F" w:rsidR="00243653" w:rsidRPr="008006EA" w:rsidRDefault="007E648B" w:rsidP="00243653">
      <w:pPr>
        <w:pStyle w:val="MDPI71References"/>
      </w:pPr>
      <w:r w:rsidRPr="007E648B">
        <w:t xml:space="preserve">Pepi, M.; Lampariello, L.R.; Altieri, R.; Esposito, A.; Perra, G.; Renzi, M.; Lobianco, A.; Feola, A.; Gasperini, S.; Focardi, S.E. Tannic acid degradation by bacterial strains </w:t>
      </w:r>
      <w:r w:rsidRPr="007E648B">
        <w:rPr>
          <w:i/>
          <w:iCs/>
        </w:rPr>
        <w:t>Serratia</w:t>
      </w:r>
      <w:r w:rsidRPr="007E648B">
        <w:t xml:space="preserve"> spp. and </w:t>
      </w:r>
      <w:r w:rsidRPr="007E648B">
        <w:rPr>
          <w:i/>
          <w:iCs/>
        </w:rPr>
        <w:t>Pantoea</w:t>
      </w:r>
      <w:r w:rsidRPr="007E648B">
        <w:t xml:space="preserve"> sp. isolated from olive mill waste mixtures. </w:t>
      </w:r>
      <w:r w:rsidRPr="007E648B">
        <w:rPr>
          <w:i/>
          <w:iCs/>
        </w:rPr>
        <w:t>Int Biodeter Biodegrad</w:t>
      </w:r>
      <w:r w:rsidRPr="007E648B">
        <w:t xml:space="preserve"> </w:t>
      </w:r>
      <w:r w:rsidRPr="007E648B">
        <w:rPr>
          <w:b/>
          <w:bCs/>
        </w:rPr>
        <w:t>2010</w:t>
      </w:r>
      <w:r>
        <w:t xml:space="preserve">, </w:t>
      </w:r>
      <w:r w:rsidRPr="007E648B">
        <w:t>64, 73</w:t>
      </w:r>
      <w:r w:rsidRPr="00F6448A">
        <w:t>–</w:t>
      </w:r>
      <w:r w:rsidRPr="007E648B">
        <w:t>80</w:t>
      </w:r>
      <w:r w:rsidR="00243653" w:rsidRPr="008006EA">
        <w:t>.</w:t>
      </w:r>
    </w:p>
    <w:p w14:paraId="410C0E28" w14:textId="0125F82D" w:rsidR="007E13A0" w:rsidRDefault="007E648B" w:rsidP="007E648B">
      <w:pPr>
        <w:pStyle w:val="MDPI71References"/>
        <w:ind w:left="777"/>
      </w:pPr>
      <w:r w:rsidRPr="007E648B">
        <w:t>Ertuğrul, S.</w:t>
      </w:r>
      <w:r>
        <w:t>;</w:t>
      </w:r>
      <w:r w:rsidRPr="007E648B">
        <w:t xml:space="preserve"> Dönmez, G.</w:t>
      </w:r>
      <w:r>
        <w:t>;</w:t>
      </w:r>
      <w:r w:rsidRPr="007E648B">
        <w:t xml:space="preserve"> Takaç, S. Isolation of lipase producing </w:t>
      </w:r>
      <w:r w:rsidRPr="007E648B">
        <w:rPr>
          <w:i/>
          <w:iCs/>
        </w:rPr>
        <w:t>Bacillus</w:t>
      </w:r>
      <w:r w:rsidRPr="007E648B">
        <w:t xml:space="preserve"> sp. from olive mill wastewater and improving its enzyme activity. </w:t>
      </w:r>
      <w:r w:rsidRPr="007E648B">
        <w:rPr>
          <w:i/>
          <w:iCs/>
        </w:rPr>
        <w:t>J Hazard Mater</w:t>
      </w:r>
      <w:r w:rsidRPr="007E648B">
        <w:t xml:space="preserve"> </w:t>
      </w:r>
      <w:r w:rsidRPr="007E648B">
        <w:rPr>
          <w:b/>
          <w:bCs/>
        </w:rPr>
        <w:t>2007</w:t>
      </w:r>
      <w:r>
        <w:t xml:space="preserve">, </w:t>
      </w:r>
      <w:r w:rsidRPr="007E648B">
        <w:t>149, 720–724.</w:t>
      </w:r>
    </w:p>
    <w:p w14:paraId="28AE8AF3" w14:textId="5A1E7DE2" w:rsidR="007E648B" w:rsidRDefault="007E648B" w:rsidP="007E648B">
      <w:pPr>
        <w:pStyle w:val="MDPI71References"/>
        <w:ind w:left="777"/>
      </w:pPr>
      <w:r w:rsidRPr="007E648B">
        <w:rPr>
          <w:lang w:val="en-GB"/>
        </w:rPr>
        <w:t xml:space="preserve">Ciafardini, G.; Zullo, B.A. </w:t>
      </w:r>
      <w:r w:rsidRPr="007E648B">
        <w:t xml:space="preserve">Virgin olive oil yeasts: A review. </w:t>
      </w:r>
      <w:r w:rsidRPr="007E648B">
        <w:rPr>
          <w:i/>
          <w:iCs/>
        </w:rPr>
        <w:t>Food Microbiol</w:t>
      </w:r>
      <w:r w:rsidRPr="007E648B">
        <w:t xml:space="preserve"> </w:t>
      </w:r>
      <w:r w:rsidRPr="007E648B">
        <w:rPr>
          <w:b/>
          <w:bCs/>
          <w:lang w:val="en-GB"/>
        </w:rPr>
        <w:t>2018</w:t>
      </w:r>
      <w:r>
        <w:rPr>
          <w:lang w:val="en-GB"/>
        </w:rPr>
        <w:t>,</w:t>
      </w:r>
      <w:r w:rsidRPr="007E648B">
        <w:rPr>
          <w:lang w:val="en-GB"/>
        </w:rPr>
        <w:t xml:space="preserve"> </w:t>
      </w:r>
      <w:r w:rsidRPr="007E648B">
        <w:t>70, 245-253</w:t>
      </w:r>
      <w:r>
        <w:t>.</w:t>
      </w:r>
    </w:p>
    <w:p w14:paraId="146451C9" w14:textId="50206A9B" w:rsidR="007652B7" w:rsidRDefault="007E648B" w:rsidP="007E648B">
      <w:pPr>
        <w:pStyle w:val="MDPI71References"/>
        <w:spacing w:after="240"/>
        <w:ind w:left="777"/>
      </w:pPr>
      <w:r w:rsidRPr="007E648B">
        <w:t xml:space="preserve">De Angelis, M.; Campanella, D.; Cosmai, L.; Summo, C.; Rizzello, C.G.; Caponio, F. Microbiota and metabolome of un-started and started Greek-type fermentation of Bella di Cerignola table olives. </w:t>
      </w:r>
      <w:r w:rsidRPr="007E648B">
        <w:rPr>
          <w:i/>
          <w:iCs/>
        </w:rPr>
        <w:t>Food Microbiol</w:t>
      </w:r>
      <w:r w:rsidRPr="007E648B">
        <w:t xml:space="preserve"> </w:t>
      </w:r>
      <w:r w:rsidRPr="007E648B">
        <w:rPr>
          <w:b/>
          <w:bCs/>
        </w:rPr>
        <w:t>2015</w:t>
      </w:r>
      <w:r>
        <w:t>,</w:t>
      </w:r>
      <w:r w:rsidRPr="007E648B">
        <w:t xml:space="preserve"> 52, 18-30</w:t>
      </w:r>
      <w:r>
        <w:t>.</w:t>
      </w:r>
    </w:p>
    <w:tbl>
      <w:tblPr>
        <w:tblW w:w="0" w:type="auto"/>
        <w:jc w:val="center"/>
        <w:tblLook w:val="04A0" w:firstRow="1" w:lastRow="0" w:firstColumn="1" w:lastColumn="0" w:noHBand="0" w:noVBand="1"/>
      </w:tblPr>
      <w:tblGrid>
        <w:gridCol w:w="1711"/>
        <w:gridCol w:w="7133"/>
      </w:tblGrid>
      <w:tr w:rsidR="007E13A0" w:rsidRPr="00954EA5" w14:paraId="53ED455A" w14:textId="77777777" w:rsidTr="00CC7ED9">
        <w:trPr>
          <w:jc w:val="center"/>
        </w:trPr>
        <w:tc>
          <w:tcPr>
            <w:tcW w:w="0" w:type="auto"/>
            <w:shd w:val="clear" w:color="auto" w:fill="auto"/>
            <w:vAlign w:val="center"/>
          </w:tcPr>
          <w:p w14:paraId="67A23EF8" w14:textId="77777777" w:rsidR="007E13A0" w:rsidRPr="00954EA5" w:rsidRDefault="00E738AF" w:rsidP="00B61C94">
            <w:pPr>
              <w:pStyle w:val="MDPI71References"/>
              <w:numPr>
                <w:ilvl w:val="0"/>
                <w:numId w:val="0"/>
              </w:numPr>
              <w:ind w:left="-85"/>
              <w:rPr>
                <w:rFonts w:eastAsia="宋体"/>
                <w:bCs/>
              </w:rPr>
            </w:pPr>
            <w:r w:rsidRPr="00954EA5">
              <w:rPr>
                <w:rFonts w:eastAsia="宋体"/>
                <w:bCs/>
                <w:noProof/>
                <w:lang w:eastAsia="zh-CN" w:bidi="ar-SA"/>
              </w:rPr>
              <w:drawing>
                <wp:inline distT="0" distB="0" distL="0" distR="0" wp14:anchorId="6C505ACC" wp14:editId="61B82D3B">
                  <wp:extent cx="1003300" cy="361950"/>
                  <wp:effectExtent l="0" t="0" r="0" b="0"/>
                  <wp:docPr id="3" name="Immagine 3"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3300" cy="361950"/>
                          </a:xfrm>
                          <a:prstGeom prst="rect">
                            <a:avLst/>
                          </a:prstGeom>
                          <a:noFill/>
                          <a:ln>
                            <a:noFill/>
                          </a:ln>
                        </pic:spPr>
                      </pic:pic>
                    </a:graphicData>
                  </a:graphic>
                </wp:inline>
              </w:drawing>
            </w:r>
          </w:p>
        </w:tc>
        <w:tc>
          <w:tcPr>
            <w:tcW w:w="7149" w:type="dxa"/>
            <w:shd w:val="clear" w:color="auto" w:fill="auto"/>
            <w:vAlign w:val="center"/>
          </w:tcPr>
          <w:p w14:paraId="56569DB6" w14:textId="77777777" w:rsidR="007E13A0" w:rsidRPr="00954EA5" w:rsidRDefault="009B1312" w:rsidP="00764704">
            <w:pPr>
              <w:pStyle w:val="MDPI71References"/>
              <w:numPr>
                <w:ilvl w:val="0"/>
                <w:numId w:val="0"/>
              </w:numPr>
              <w:ind w:left="-85"/>
              <w:rPr>
                <w:rFonts w:eastAsia="宋体"/>
                <w:bCs/>
              </w:rPr>
            </w:pPr>
            <w:r>
              <w:rPr>
                <w:rFonts w:eastAsia="宋体"/>
                <w:bCs/>
              </w:rPr>
              <w:t>© 20</w:t>
            </w:r>
            <w:r w:rsidR="00764704">
              <w:rPr>
                <w:rFonts w:eastAsia="宋体"/>
                <w:bCs/>
              </w:rPr>
              <w:t>20</w:t>
            </w:r>
            <w:r w:rsidR="007E13A0" w:rsidRPr="00954EA5">
              <w:rPr>
                <w:rFonts w:eastAsia="宋体"/>
                <w:bCs/>
              </w:rPr>
              <w:t xml:space="preserve"> by the authors. Submitted for possible open access publication under the terms and conditions of the Creative Commons Attribution (CC BY) license (http://creativecommons.org/licenses/by/4.0/).</w:t>
            </w:r>
          </w:p>
        </w:tc>
      </w:tr>
    </w:tbl>
    <w:p w14:paraId="508A7FA9" w14:textId="77777777" w:rsidR="00243653" w:rsidRPr="00DA0BED" w:rsidRDefault="00243653" w:rsidP="007E13A0">
      <w:pPr>
        <w:pStyle w:val="MDPI71References"/>
        <w:numPr>
          <w:ilvl w:val="0"/>
          <w:numId w:val="0"/>
        </w:numPr>
        <w:spacing w:after="240"/>
        <w:rPr>
          <w:rFonts w:eastAsia="宋体"/>
        </w:rPr>
      </w:pPr>
    </w:p>
    <w:sectPr w:rsidR="00243653" w:rsidRPr="00DA0BED" w:rsidSect="004905D0">
      <w:headerReference w:type="even" r:id="rId8"/>
      <w:headerReference w:type="default" r:id="rId9"/>
      <w:footerReference w:type="default" r:id="rId10"/>
      <w:headerReference w:type="first" r:id="rId11"/>
      <w:footerReference w:type="first" r:id="rId12"/>
      <w:pgSz w:w="11906" w:h="16838" w:code="9"/>
      <w:pgMar w:top="1417" w:right="1531" w:bottom="1077" w:left="1531" w:header="1020" w:footer="850" w:gutter="0"/>
      <w:pgNumType w:start="1"/>
      <w:cols w:space="425"/>
      <w:titlePg/>
      <w:docGrid w:type="lines"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810747" w16cid:durableId="22111591"/>
  <w16cid:commentId w16cid:paraId="244195D5" w16cid:durableId="221118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7C36A" w14:textId="77777777" w:rsidR="00937802" w:rsidRDefault="00937802">
      <w:pPr>
        <w:spacing w:line="240" w:lineRule="auto"/>
      </w:pPr>
      <w:r>
        <w:separator/>
      </w:r>
    </w:p>
  </w:endnote>
  <w:endnote w:type="continuationSeparator" w:id="0">
    <w:p w14:paraId="4A52FDFD" w14:textId="77777777" w:rsidR="00937802" w:rsidRDefault="009378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New Roman">
    <w:altName w:val="MS Gothic"/>
    <w:panose1 w:val="00000000000000000000"/>
    <w:charset w:val="80"/>
    <w:family w:val="roman"/>
    <w:notTrueType/>
    <w:pitch w:val="fixed"/>
    <w:sig w:usb0="00000001" w:usb1="08070000" w:usb2="00000010" w:usb3="00000000" w:csb0="00020000" w:csb1="00000000"/>
  </w:font>
  <w:font w:name="MS Gothi">
    <w:altName w:val="MS Gothic"/>
    <w:panose1 w:val="00000000000000000000"/>
    <w:charset w:val="80"/>
    <w:family w:val="moder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5F52B" w14:textId="77777777" w:rsidR="001C76F6" w:rsidRPr="00A125AC" w:rsidRDefault="001C76F6" w:rsidP="001C76F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499A2" w14:textId="77777777" w:rsidR="001C76F6" w:rsidRPr="00372FCD" w:rsidRDefault="001C76F6" w:rsidP="00764704">
    <w:pPr>
      <w:tabs>
        <w:tab w:val="right" w:pos="8844"/>
      </w:tabs>
      <w:adjustRightInd w:val="0"/>
      <w:snapToGrid w:val="0"/>
      <w:spacing w:before="120" w:line="240" w:lineRule="auto"/>
      <w:rPr>
        <w:rFonts w:ascii="Palatino Linotype" w:hAnsi="Palatino Linotype"/>
        <w:sz w:val="16"/>
        <w:szCs w:val="16"/>
        <w:lang w:val="fr-CH"/>
      </w:rPr>
    </w:pPr>
    <w:r w:rsidRPr="00BA3B3A">
      <w:rPr>
        <w:rFonts w:ascii="Palatino Linotype" w:hAnsi="Palatino Linotype"/>
        <w:i/>
        <w:sz w:val="16"/>
        <w:szCs w:val="16"/>
      </w:rPr>
      <w:t>Foods</w:t>
    </w:r>
    <w:r>
      <w:rPr>
        <w:rFonts w:ascii="Palatino Linotype" w:hAnsi="Palatino Linotype"/>
        <w:i/>
        <w:sz w:val="16"/>
        <w:szCs w:val="16"/>
      </w:rPr>
      <w:t xml:space="preserve"> </w:t>
    </w:r>
    <w:r w:rsidR="00764704">
      <w:rPr>
        <w:rFonts w:ascii="Palatino Linotype" w:hAnsi="Palatino Linotype"/>
        <w:b/>
        <w:bCs/>
        <w:iCs/>
        <w:sz w:val="16"/>
        <w:szCs w:val="16"/>
      </w:rPr>
      <w:t>2020</w:t>
    </w:r>
    <w:r w:rsidR="007E13A0" w:rsidRPr="007E13A0">
      <w:rPr>
        <w:rFonts w:ascii="Palatino Linotype" w:hAnsi="Palatino Linotype"/>
        <w:bCs/>
        <w:iCs/>
        <w:sz w:val="16"/>
        <w:szCs w:val="16"/>
      </w:rPr>
      <w:t xml:space="preserve">, </w:t>
    </w:r>
    <w:r w:rsidR="00764704">
      <w:rPr>
        <w:rFonts w:ascii="Palatino Linotype" w:hAnsi="Palatino Linotype"/>
        <w:bCs/>
        <w:i/>
        <w:iCs/>
        <w:sz w:val="16"/>
        <w:szCs w:val="16"/>
      </w:rPr>
      <w:t>9</w:t>
    </w:r>
    <w:r w:rsidR="007E13A0" w:rsidRPr="007E13A0">
      <w:rPr>
        <w:rFonts w:ascii="Palatino Linotype" w:hAnsi="Palatino Linotype"/>
        <w:bCs/>
        <w:iCs/>
        <w:sz w:val="16"/>
        <w:szCs w:val="16"/>
      </w:rPr>
      <w:t xml:space="preserve">, </w:t>
    </w:r>
    <w:r w:rsidR="00AE6E21">
      <w:rPr>
        <w:rFonts w:ascii="Palatino Linotype" w:hAnsi="Palatino Linotype"/>
        <w:bCs/>
        <w:iCs/>
        <w:sz w:val="16"/>
        <w:szCs w:val="16"/>
      </w:rPr>
      <w:t>x; doi: FOR PEER REVIEW</w:t>
    </w:r>
    <w:r w:rsidR="007D5729" w:rsidRPr="00372FCD">
      <w:rPr>
        <w:rFonts w:ascii="Palatino Linotype" w:hAnsi="Palatino Linotype"/>
        <w:sz w:val="16"/>
        <w:szCs w:val="16"/>
        <w:lang w:val="fr-CH"/>
      </w:rPr>
      <w:tab/>
    </w:r>
    <w:r w:rsidRPr="00372FCD">
      <w:rPr>
        <w:rFonts w:ascii="Palatino Linotype" w:hAnsi="Palatino Linotype"/>
        <w:sz w:val="16"/>
        <w:szCs w:val="16"/>
        <w:lang w:val="fr-CH"/>
      </w:rPr>
      <w:t>www.mdpi.com/journal/</w:t>
    </w:r>
    <w:r w:rsidRPr="00BA3B3A">
      <w:rPr>
        <w:rFonts w:ascii="Palatino Linotype" w:hAnsi="Palatino Linotype"/>
        <w:sz w:val="16"/>
        <w:szCs w:val="16"/>
      </w:rPr>
      <w:t>foods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BC495" w14:textId="77777777" w:rsidR="00937802" w:rsidRDefault="00937802">
      <w:pPr>
        <w:spacing w:line="240" w:lineRule="auto"/>
      </w:pPr>
      <w:r>
        <w:separator/>
      </w:r>
    </w:p>
  </w:footnote>
  <w:footnote w:type="continuationSeparator" w:id="0">
    <w:p w14:paraId="7F8F22EC" w14:textId="77777777" w:rsidR="00937802" w:rsidRDefault="009378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D666" w14:textId="77777777" w:rsidR="001C76F6" w:rsidRDefault="001C76F6" w:rsidP="001C76F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A08C2" w14:textId="446AB4F4" w:rsidR="001C76F6" w:rsidRPr="007E4B3B" w:rsidRDefault="001C76F6" w:rsidP="00764704">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Foods </w:t>
    </w:r>
    <w:r w:rsidR="00764704">
      <w:rPr>
        <w:rFonts w:ascii="Palatino Linotype" w:hAnsi="Palatino Linotype"/>
        <w:b/>
        <w:sz w:val="16"/>
      </w:rPr>
      <w:t>2020</w:t>
    </w:r>
    <w:r w:rsidR="007E13A0" w:rsidRPr="007E13A0">
      <w:rPr>
        <w:rFonts w:ascii="Palatino Linotype" w:hAnsi="Palatino Linotype"/>
        <w:sz w:val="16"/>
      </w:rPr>
      <w:t xml:space="preserve">, </w:t>
    </w:r>
    <w:r w:rsidR="00764704">
      <w:rPr>
        <w:rFonts w:ascii="Palatino Linotype" w:hAnsi="Palatino Linotype"/>
        <w:i/>
        <w:sz w:val="16"/>
      </w:rPr>
      <w:t>9</w:t>
    </w:r>
    <w:r w:rsidR="00AE6E21">
      <w:rPr>
        <w:rFonts w:ascii="Palatino Linotype" w:hAnsi="Palatino Linotype"/>
        <w:sz w:val="16"/>
      </w:rPr>
      <w:t>, x FOR PEER REVIEW</w:t>
    </w:r>
    <w:r w:rsidR="007D5729">
      <w:rPr>
        <w:rFonts w:ascii="Palatino Linotype" w:hAnsi="Palatino Linotype"/>
        <w:sz w:val="16"/>
      </w:rPr>
      <w:tab/>
    </w:r>
    <w:r w:rsidR="00AE6E21">
      <w:rPr>
        <w:rFonts w:ascii="Palatino Linotype" w:hAnsi="Palatino Linotype"/>
        <w:sz w:val="16"/>
      </w:rPr>
      <w:fldChar w:fldCharType="begin"/>
    </w:r>
    <w:r w:rsidR="00AE6E21">
      <w:rPr>
        <w:rFonts w:ascii="Palatino Linotype" w:hAnsi="Palatino Linotype"/>
        <w:sz w:val="16"/>
      </w:rPr>
      <w:instrText xml:space="preserve"> PAGE   \* MERGEFORMAT </w:instrText>
    </w:r>
    <w:r w:rsidR="00AE6E21">
      <w:rPr>
        <w:rFonts w:ascii="Palatino Linotype" w:hAnsi="Palatino Linotype"/>
        <w:sz w:val="16"/>
      </w:rPr>
      <w:fldChar w:fldCharType="separate"/>
    </w:r>
    <w:r w:rsidR="00906DDF">
      <w:rPr>
        <w:rFonts w:ascii="Palatino Linotype" w:hAnsi="Palatino Linotype"/>
        <w:noProof/>
        <w:sz w:val="16"/>
      </w:rPr>
      <w:t>2</w:t>
    </w:r>
    <w:r w:rsidR="00AE6E21">
      <w:rPr>
        <w:rFonts w:ascii="Palatino Linotype" w:hAnsi="Palatino Linotype"/>
        <w:sz w:val="16"/>
      </w:rPr>
      <w:fldChar w:fldCharType="end"/>
    </w:r>
    <w:r w:rsidR="00AE6E21">
      <w:rPr>
        <w:rFonts w:ascii="Palatino Linotype" w:hAnsi="Palatino Linotype"/>
        <w:sz w:val="16"/>
      </w:rPr>
      <w:t xml:space="preserve"> of </w:t>
    </w:r>
    <w:r w:rsidR="00AE6E21">
      <w:rPr>
        <w:rFonts w:ascii="Palatino Linotype" w:hAnsi="Palatino Linotype"/>
        <w:sz w:val="16"/>
      </w:rPr>
      <w:fldChar w:fldCharType="begin"/>
    </w:r>
    <w:r w:rsidR="00AE6E21">
      <w:rPr>
        <w:rFonts w:ascii="Palatino Linotype" w:hAnsi="Palatino Linotype"/>
        <w:sz w:val="16"/>
      </w:rPr>
      <w:instrText xml:space="preserve"> NUMPAGES   \* MERGEFORMAT </w:instrText>
    </w:r>
    <w:r w:rsidR="00AE6E21">
      <w:rPr>
        <w:rFonts w:ascii="Palatino Linotype" w:hAnsi="Palatino Linotype"/>
        <w:sz w:val="16"/>
      </w:rPr>
      <w:fldChar w:fldCharType="separate"/>
    </w:r>
    <w:r w:rsidR="00906DDF">
      <w:rPr>
        <w:rFonts w:ascii="Palatino Linotype" w:hAnsi="Palatino Linotype"/>
        <w:noProof/>
        <w:sz w:val="16"/>
      </w:rPr>
      <w:t>2</w:t>
    </w:r>
    <w:r w:rsidR="00AE6E21">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1E58A" w14:textId="77777777" w:rsidR="001C76F6" w:rsidRDefault="00E738AF" w:rsidP="001C76F6">
    <w:pPr>
      <w:pStyle w:val="MDPIheaderjournallogo"/>
    </w:pPr>
    <w:r w:rsidRPr="0093199B">
      <w:rPr>
        <w:i w:val="0"/>
        <w:noProof/>
        <w:szCs w:val="16"/>
        <w:lang w:eastAsia="zh-CN"/>
      </w:rPr>
      <mc:AlternateContent>
        <mc:Choice Requires="wps">
          <w:drawing>
            <wp:anchor distT="45720" distB="45720" distL="114300" distR="114300" simplePos="0" relativeHeight="251657728" behindDoc="1" locked="0" layoutInCell="1" allowOverlap="1" wp14:anchorId="6C696ECE" wp14:editId="23CCBC77">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535ADC2E" w14:textId="77777777" w:rsidR="001C76F6" w:rsidRDefault="00E738AF" w:rsidP="001C76F6">
                          <w:pPr>
                            <w:pStyle w:val="MDPIheaderjournallogo"/>
                            <w:jc w:val="center"/>
                            <w:textboxTightWrap w:val="allLines"/>
                            <w:rPr>
                              <w:i w:val="0"/>
                              <w:szCs w:val="16"/>
                            </w:rPr>
                          </w:pPr>
                          <w:r w:rsidRPr="00243653">
                            <w:rPr>
                              <w:i w:val="0"/>
                              <w:noProof/>
                              <w:szCs w:val="16"/>
                              <w:lang w:eastAsia="zh-CN"/>
                            </w:rPr>
                            <w:drawing>
                              <wp:inline distT="0" distB="0" distL="0" distR="0" wp14:anchorId="74117F8F" wp14:editId="5E5794D2">
                                <wp:extent cx="539115" cy="35496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35496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C696ECE"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535ADC2E" w14:textId="77777777" w:rsidR="001C76F6" w:rsidRDefault="00E738AF" w:rsidP="001C76F6">
                    <w:pPr>
                      <w:pStyle w:val="MDPIheaderjournallogo"/>
                      <w:jc w:val="center"/>
                      <w:textboxTightWrap w:val="allLines"/>
                      <w:rPr>
                        <w:i w:val="0"/>
                        <w:szCs w:val="16"/>
                      </w:rPr>
                    </w:pPr>
                    <w:r w:rsidRPr="00243653">
                      <w:rPr>
                        <w:i w:val="0"/>
                        <w:noProof/>
                        <w:szCs w:val="16"/>
                        <w:lang w:eastAsia="zh-CN"/>
                      </w:rPr>
                      <w:drawing>
                        <wp:inline distT="0" distB="0" distL="0" distR="0" wp14:anchorId="74117F8F" wp14:editId="5E5794D2">
                          <wp:extent cx="539115" cy="35496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115" cy="354965"/>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0066DCCD" wp14:editId="05316776">
          <wp:extent cx="1235075" cy="436880"/>
          <wp:effectExtent l="0" t="0" r="0" b="0"/>
          <wp:docPr id="5" name="Picture 3" descr="C:\Users\home\AppData\Local\Temp\HZ$D.082.3307\food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82.3307\foods_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5075" cy="4368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53DED7CC"/>
    <w:lvl w:ilvl="0" w:tplc="0628B048">
      <w:start w:val="46"/>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num>
  <w:num w:numId="5">
    <w:abstractNumId w:val="0"/>
  </w:num>
  <w:num w:numId="6">
    <w:abstractNumId w:val="0"/>
  </w:num>
  <w:num w:numId="7">
    <w:abstractNumId w:val="0"/>
    <w:lvlOverride w:ilvl="0">
      <w:startOverride w:val="5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defaultTabStop w:val="420"/>
  <w:hyphenationZone w:val="283"/>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AF"/>
    <w:rsid w:val="000407A2"/>
    <w:rsid w:val="00160266"/>
    <w:rsid w:val="00175630"/>
    <w:rsid w:val="001766EA"/>
    <w:rsid w:val="0018545E"/>
    <w:rsid w:val="001A535F"/>
    <w:rsid w:val="001B2C94"/>
    <w:rsid w:val="001C76F6"/>
    <w:rsid w:val="001D0CDE"/>
    <w:rsid w:val="001E2AEB"/>
    <w:rsid w:val="00243653"/>
    <w:rsid w:val="00254361"/>
    <w:rsid w:val="00275B44"/>
    <w:rsid w:val="002A318D"/>
    <w:rsid w:val="002B3A4B"/>
    <w:rsid w:val="002D6A12"/>
    <w:rsid w:val="002E3A10"/>
    <w:rsid w:val="00312DD0"/>
    <w:rsid w:val="00326141"/>
    <w:rsid w:val="00371C6B"/>
    <w:rsid w:val="003D0C5A"/>
    <w:rsid w:val="00401D30"/>
    <w:rsid w:val="00415B9C"/>
    <w:rsid w:val="004803FF"/>
    <w:rsid w:val="004905D0"/>
    <w:rsid w:val="004D278C"/>
    <w:rsid w:val="00527533"/>
    <w:rsid w:val="0053255F"/>
    <w:rsid w:val="00557D05"/>
    <w:rsid w:val="005970C0"/>
    <w:rsid w:val="005B5B5A"/>
    <w:rsid w:val="0060137B"/>
    <w:rsid w:val="00634BA3"/>
    <w:rsid w:val="00652F0C"/>
    <w:rsid w:val="00676D2D"/>
    <w:rsid w:val="00681D08"/>
    <w:rsid w:val="00692393"/>
    <w:rsid w:val="006A1B40"/>
    <w:rsid w:val="006F3A1F"/>
    <w:rsid w:val="0072365C"/>
    <w:rsid w:val="00764704"/>
    <w:rsid w:val="007652B7"/>
    <w:rsid w:val="00784160"/>
    <w:rsid w:val="00796463"/>
    <w:rsid w:val="007D4B61"/>
    <w:rsid w:val="007D5729"/>
    <w:rsid w:val="007E13A0"/>
    <w:rsid w:val="007E648B"/>
    <w:rsid w:val="0080769C"/>
    <w:rsid w:val="008703A8"/>
    <w:rsid w:val="00873D51"/>
    <w:rsid w:val="008B289A"/>
    <w:rsid w:val="008E2664"/>
    <w:rsid w:val="00906DDF"/>
    <w:rsid w:val="0092741D"/>
    <w:rsid w:val="00937802"/>
    <w:rsid w:val="00954EA5"/>
    <w:rsid w:val="009A28F8"/>
    <w:rsid w:val="009B1312"/>
    <w:rsid w:val="009C17B8"/>
    <w:rsid w:val="009C5A50"/>
    <w:rsid w:val="009F70E6"/>
    <w:rsid w:val="009F7393"/>
    <w:rsid w:val="00A132A7"/>
    <w:rsid w:val="00A17DBF"/>
    <w:rsid w:val="00A40A4C"/>
    <w:rsid w:val="00A50652"/>
    <w:rsid w:val="00A82F41"/>
    <w:rsid w:val="00AD12E5"/>
    <w:rsid w:val="00AE6E21"/>
    <w:rsid w:val="00AF6A72"/>
    <w:rsid w:val="00B61C94"/>
    <w:rsid w:val="00B916AE"/>
    <w:rsid w:val="00BA4502"/>
    <w:rsid w:val="00BC0CB4"/>
    <w:rsid w:val="00BE01A2"/>
    <w:rsid w:val="00BF1202"/>
    <w:rsid w:val="00C24F1F"/>
    <w:rsid w:val="00C471D1"/>
    <w:rsid w:val="00C92553"/>
    <w:rsid w:val="00CC7ED9"/>
    <w:rsid w:val="00D00D5B"/>
    <w:rsid w:val="00D036B1"/>
    <w:rsid w:val="00D11E73"/>
    <w:rsid w:val="00D20599"/>
    <w:rsid w:val="00D8306D"/>
    <w:rsid w:val="00DB493F"/>
    <w:rsid w:val="00E05F48"/>
    <w:rsid w:val="00E1348D"/>
    <w:rsid w:val="00E24B0B"/>
    <w:rsid w:val="00E5223B"/>
    <w:rsid w:val="00E62255"/>
    <w:rsid w:val="00E63A1F"/>
    <w:rsid w:val="00E738AF"/>
    <w:rsid w:val="00EB4E2C"/>
    <w:rsid w:val="00ED4C78"/>
    <w:rsid w:val="00F365B6"/>
    <w:rsid w:val="00F46911"/>
    <w:rsid w:val="00F6448A"/>
    <w:rsid w:val="00FB5747"/>
    <w:rsid w:val="00FF68E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29423"/>
  <w15:chartTrackingRefBased/>
  <w15:docId w15:val="{F0F9DA1C-D86E-42E9-9D21-676AA838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53"/>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243653"/>
    <w:pPr>
      <w:spacing w:before="240" w:line="240" w:lineRule="auto"/>
      <w:ind w:firstLine="0"/>
      <w:jc w:val="left"/>
    </w:pPr>
    <w:rPr>
      <w:i/>
    </w:rPr>
  </w:style>
  <w:style w:type="paragraph" w:customStyle="1" w:styleId="MDPI12title">
    <w:name w:val="MDPI_1.2_title"/>
    <w:next w:val="MDPI13authornames"/>
    <w:qFormat/>
    <w:rsid w:val="0024365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243653"/>
    <w:pPr>
      <w:spacing w:after="120"/>
      <w:ind w:firstLine="0"/>
      <w:jc w:val="left"/>
    </w:pPr>
    <w:rPr>
      <w:b/>
      <w:snapToGrid/>
    </w:rPr>
  </w:style>
  <w:style w:type="paragraph" w:customStyle="1" w:styleId="MDPI14history">
    <w:name w:val="MDPI_1.4_history"/>
    <w:basedOn w:val="MDPI62Acknowledgments"/>
    <w:next w:val="Normal"/>
    <w:qFormat/>
    <w:rsid w:val="00243653"/>
    <w:pPr>
      <w:ind w:left="113"/>
      <w:jc w:val="left"/>
    </w:pPr>
    <w:rPr>
      <w:snapToGrid/>
    </w:rPr>
  </w:style>
  <w:style w:type="paragraph" w:customStyle="1" w:styleId="MDPI16affiliation">
    <w:name w:val="MDPI_1.6_affiliation"/>
    <w:basedOn w:val="MDPI62Acknowledgments"/>
    <w:qFormat/>
    <w:rsid w:val="00243653"/>
    <w:pPr>
      <w:spacing w:before="0"/>
      <w:ind w:left="311" w:hanging="198"/>
      <w:jc w:val="left"/>
    </w:pPr>
    <w:rPr>
      <w:snapToGrid/>
      <w:szCs w:val="18"/>
    </w:rPr>
  </w:style>
  <w:style w:type="paragraph" w:customStyle="1" w:styleId="MDPI17abstract">
    <w:name w:val="MDPI_1.7_abstract"/>
    <w:basedOn w:val="MDPI31text"/>
    <w:next w:val="MDPI18keywords"/>
    <w:qFormat/>
    <w:rsid w:val="00243653"/>
    <w:pPr>
      <w:spacing w:before="240"/>
      <w:ind w:left="113" w:firstLine="0"/>
    </w:pPr>
    <w:rPr>
      <w:snapToGrid/>
    </w:rPr>
  </w:style>
  <w:style w:type="paragraph" w:customStyle="1" w:styleId="MDPI18keywords">
    <w:name w:val="MDPI_1.8_keywords"/>
    <w:basedOn w:val="MDPI31text"/>
    <w:next w:val="Normal"/>
    <w:qFormat/>
    <w:rsid w:val="00243653"/>
    <w:pPr>
      <w:spacing w:before="240"/>
      <w:ind w:left="113" w:firstLine="0"/>
    </w:pPr>
  </w:style>
  <w:style w:type="paragraph" w:customStyle="1" w:styleId="MDPI19line">
    <w:name w:val="MDPI_1.9_line"/>
    <w:basedOn w:val="MDPI31text"/>
    <w:qFormat/>
    <w:rsid w:val="0024365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24365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24365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43653"/>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243653"/>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24365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24365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24365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243653"/>
    <w:pPr>
      <w:ind w:firstLine="0"/>
    </w:pPr>
  </w:style>
  <w:style w:type="paragraph" w:customStyle="1" w:styleId="MDPI33textspaceafter">
    <w:name w:val="MDPI_3.3_text_space_after"/>
    <w:basedOn w:val="MDPI31text"/>
    <w:qFormat/>
    <w:rsid w:val="00243653"/>
    <w:pPr>
      <w:spacing w:after="240"/>
    </w:pPr>
  </w:style>
  <w:style w:type="paragraph" w:customStyle="1" w:styleId="MDPI35textbeforelist">
    <w:name w:val="MDPI_3.5_text_before_list"/>
    <w:basedOn w:val="MDPI31text"/>
    <w:qFormat/>
    <w:rsid w:val="00243653"/>
    <w:pPr>
      <w:spacing w:after="120"/>
    </w:pPr>
  </w:style>
  <w:style w:type="paragraph" w:customStyle="1" w:styleId="MDPI36textafterlist">
    <w:name w:val="MDPI_3.6_text_after_list"/>
    <w:basedOn w:val="MDPI31text"/>
    <w:qFormat/>
    <w:rsid w:val="00243653"/>
    <w:pPr>
      <w:spacing w:before="120"/>
    </w:pPr>
  </w:style>
  <w:style w:type="paragraph" w:customStyle="1" w:styleId="MDPI37itemize">
    <w:name w:val="MDPI_3.7_itemize"/>
    <w:basedOn w:val="MDPI31text"/>
    <w:qFormat/>
    <w:rsid w:val="00243653"/>
    <w:pPr>
      <w:numPr>
        <w:numId w:val="1"/>
      </w:numPr>
      <w:ind w:left="425" w:hanging="425"/>
    </w:pPr>
  </w:style>
  <w:style w:type="paragraph" w:customStyle="1" w:styleId="MDPI38bullet">
    <w:name w:val="MDPI_3.8_bullet"/>
    <w:basedOn w:val="MDPI31text"/>
    <w:qFormat/>
    <w:rsid w:val="00243653"/>
    <w:pPr>
      <w:numPr>
        <w:numId w:val="2"/>
      </w:numPr>
      <w:ind w:left="425" w:hanging="425"/>
    </w:pPr>
  </w:style>
  <w:style w:type="paragraph" w:customStyle="1" w:styleId="MDPI39equation">
    <w:name w:val="MDPI_3.9_equation"/>
    <w:basedOn w:val="MDPI31text"/>
    <w:qFormat/>
    <w:rsid w:val="00243653"/>
    <w:pPr>
      <w:spacing w:before="120" w:after="120"/>
      <w:ind w:left="709" w:firstLine="0"/>
      <w:jc w:val="center"/>
    </w:pPr>
  </w:style>
  <w:style w:type="paragraph" w:customStyle="1" w:styleId="MDPI3aequationnumber">
    <w:name w:val="MDPI_3.a_equation_number"/>
    <w:basedOn w:val="MDPI31text"/>
    <w:qFormat/>
    <w:rsid w:val="00243653"/>
    <w:pPr>
      <w:spacing w:before="120" w:after="120" w:line="240" w:lineRule="auto"/>
      <w:ind w:firstLine="0"/>
      <w:jc w:val="right"/>
    </w:pPr>
  </w:style>
  <w:style w:type="paragraph" w:customStyle="1" w:styleId="MDPI62Acknowledgments">
    <w:name w:val="MDPI_6.2_Acknowledgments"/>
    <w:qFormat/>
    <w:rsid w:val="0024365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243653"/>
    <w:pPr>
      <w:spacing w:before="240" w:after="120" w:line="260" w:lineRule="atLeast"/>
      <w:ind w:left="425" w:right="425"/>
    </w:pPr>
    <w:rPr>
      <w:snapToGrid/>
      <w:szCs w:val="22"/>
    </w:rPr>
  </w:style>
  <w:style w:type="paragraph" w:customStyle="1" w:styleId="MDPI42tablebody">
    <w:name w:val="MDPI_4.2_table_body"/>
    <w:qFormat/>
    <w:rsid w:val="0072365C"/>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243653"/>
    <w:pPr>
      <w:spacing w:before="0"/>
      <w:ind w:left="0" w:right="0"/>
    </w:pPr>
  </w:style>
  <w:style w:type="paragraph" w:customStyle="1" w:styleId="MDPI51figurecaption">
    <w:name w:val="MDPI_5.1_figure_caption"/>
    <w:basedOn w:val="MDPI62Acknowledgments"/>
    <w:qFormat/>
    <w:rsid w:val="00243653"/>
    <w:pPr>
      <w:spacing w:after="240" w:line="260" w:lineRule="atLeast"/>
      <w:ind w:left="425" w:right="425"/>
    </w:pPr>
    <w:rPr>
      <w:snapToGrid/>
    </w:rPr>
  </w:style>
  <w:style w:type="paragraph" w:customStyle="1" w:styleId="MDPI52figure">
    <w:name w:val="MDPI_5.2_figure"/>
    <w:qFormat/>
    <w:rsid w:val="0024365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243653"/>
    <w:pPr>
      <w:spacing w:before="240"/>
    </w:pPr>
    <w:rPr>
      <w:lang w:eastAsia="en-US"/>
    </w:rPr>
  </w:style>
  <w:style w:type="paragraph" w:customStyle="1" w:styleId="MDPI63AuthorContributions">
    <w:name w:val="MDPI_6.3_AuthorContributions"/>
    <w:basedOn w:val="MDPI62Acknowledgments"/>
    <w:qFormat/>
    <w:rsid w:val="00243653"/>
    <w:rPr>
      <w:rFonts w:eastAsia="宋体"/>
      <w:color w:val="auto"/>
      <w:lang w:eastAsia="en-US"/>
    </w:rPr>
  </w:style>
  <w:style w:type="paragraph" w:customStyle="1" w:styleId="MDPI64CoI">
    <w:name w:val="MDPI_6.4_CoI"/>
    <w:basedOn w:val="MDPI62Acknowledgments"/>
    <w:qFormat/>
    <w:rsid w:val="00243653"/>
  </w:style>
  <w:style w:type="paragraph" w:customStyle="1" w:styleId="MDPI31text">
    <w:name w:val="MDPI_3.1_text"/>
    <w:qFormat/>
    <w:rsid w:val="0024365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243653"/>
    <w:pPr>
      <w:spacing w:before="240" w:after="120"/>
      <w:ind w:firstLine="0"/>
      <w:jc w:val="left"/>
      <w:outlineLvl w:val="2"/>
    </w:pPr>
  </w:style>
  <w:style w:type="paragraph" w:customStyle="1" w:styleId="MDPI21heading1">
    <w:name w:val="MDPI_2.1_heading1"/>
    <w:basedOn w:val="MDPI23heading3"/>
    <w:qFormat/>
    <w:rsid w:val="00243653"/>
    <w:pPr>
      <w:outlineLvl w:val="0"/>
    </w:pPr>
    <w:rPr>
      <w:b/>
    </w:rPr>
  </w:style>
  <w:style w:type="paragraph" w:customStyle="1" w:styleId="MDPI22heading2">
    <w:name w:val="MDPI_2.2_heading2"/>
    <w:basedOn w:val="Normal"/>
    <w:qFormat/>
    <w:rsid w:val="0024365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243653"/>
    <w:pPr>
      <w:numPr>
        <w:numId w:val="6"/>
      </w:numPr>
      <w:spacing w:before="0" w:line="260" w:lineRule="atLeast"/>
    </w:pPr>
  </w:style>
  <w:style w:type="paragraph" w:styleId="BalloonText">
    <w:name w:val="Balloon Text"/>
    <w:basedOn w:val="Normal"/>
    <w:link w:val="BalloonTextChar"/>
    <w:uiPriority w:val="99"/>
    <w:semiHidden/>
    <w:unhideWhenUsed/>
    <w:rsid w:val="00243653"/>
    <w:pPr>
      <w:spacing w:line="240" w:lineRule="auto"/>
    </w:pPr>
    <w:rPr>
      <w:sz w:val="18"/>
      <w:szCs w:val="18"/>
    </w:rPr>
  </w:style>
  <w:style w:type="character" w:customStyle="1" w:styleId="BalloonTextChar">
    <w:name w:val="Balloon Text Char"/>
    <w:link w:val="BalloonText"/>
    <w:uiPriority w:val="99"/>
    <w:semiHidden/>
    <w:rsid w:val="0024365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243653"/>
  </w:style>
  <w:style w:type="table" w:customStyle="1" w:styleId="MDPI41threelinetable">
    <w:name w:val="MDPI_4.1_three_line_table"/>
    <w:basedOn w:val="TableNormal"/>
    <w:uiPriority w:val="99"/>
    <w:rsid w:val="0072365C"/>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8B289A"/>
    <w:rPr>
      <w:color w:val="0563C1"/>
      <w:u w:val="single"/>
    </w:rPr>
  </w:style>
  <w:style w:type="character" w:customStyle="1" w:styleId="Menzionenonrisolta1">
    <w:name w:val="Menzione non risolta1"/>
    <w:uiPriority w:val="99"/>
    <w:semiHidden/>
    <w:unhideWhenUsed/>
    <w:rsid w:val="00527533"/>
    <w:rPr>
      <w:color w:val="605E5C"/>
      <w:shd w:val="clear" w:color="auto" w:fill="E1DFDD"/>
    </w:rPr>
  </w:style>
  <w:style w:type="table" w:styleId="PlainTable4">
    <w:name w:val="Plain Table 4"/>
    <w:basedOn w:val="TableNormal"/>
    <w:uiPriority w:val="44"/>
    <w:rsid w:val="007E13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CommentReference">
    <w:name w:val="annotation reference"/>
    <w:basedOn w:val="DefaultParagraphFont"/>
    <w:uiPriority w:val="99"/>
    <w:semiHidden/>
    <w:unhideWhenUsed/>
    <w:rsid w:val="004905D0"/>
    <w:rPr>
      <w:sz w:val="16"/>
      <w:szCs w:val="16"/>
    </w:rPr>
  </w:style>
  <w:style w:type="paragraph" w:styleId="CommentText">
    <w:name w:val="annotation text"/>
    <w:basedOn w:val="Normal"/>
    <w:link w:val="CommentTextChar"/>
    <w:uiPriority w:val="99"/>
    <w:semiHidden/>
    <w:unhideWhenUsed/>
    <w:rsid w:val="004905D0"/>
    <w:pPr>
      <w:spacing w:line="240" w:lineRule="auto"/>
    </w:pPr>
    <w:rPr>
      <w:sz w:val="20"/>
    </w:rPr>
  </w:style>
  <w:style w:type="character" w:customStyle="1" w:styleId="CommentTextChar">
    <w:name w:val="Comment Text Char"/>
    <w:basedOn w:val="DefaultParagraphFont"/>
    <w:link w:val="CommentText"/>
    <w:uiPriority w:val="99"/>
    <w:semiHidden/>
    <w:rsid w:val="004905D0"/>
    <w:rPr>
      <w:rFonts w:ascii="Times New Roman" w:eastAsia="Times New Roman" w:hAnsi="Times New Roman"/>
      <w:color w:val="000000"/>
      <w:lang w:val="en-US" w:eastAsia="de-DE"/>
    </w:rPr>
  </w:style>
  <w:style w:type="paragraph" w:styleId="CommentSubject">
    <w:name w:val="annotation subject"/>
    <w:basedOn w:val="CommentText"/>
    <w:next w:val="CommentText"/>
    <w:link w:val="CommentSubjectChar"/>
    <w:uiPriority w:val="99"/>
    <w:semiHidden/>
    <w:unhideWhenUsed/>
    <w:rsid w:val="004905D0"/>
    <w:rPr>
      <w:b/>
      <w:bCs/>
    </w:rPr>
  </w:style>
  <w:style w:type="character" w:customStyle="1" w:styleId="CommentSubjectChar">
    <w:name w:val="Comment Subject Char"/>
    <w:basedOn w:val="CommentTextChar"/>
    <w:link w:val="CommentSubject"/>
    <w:uiPriority w:val="99"/>
    <w:semiHidden/>
    <w:rsid w:val="004905D0"/>
    <w:rPr>
      <w:rFonts w:ascii="Times New Roman" w:eastAsia="Times New Roman" w:hAnsi="Times New Roman"/>
      <w:b/>
      <w:bCs/>
      <w:color w:val="00000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Google%20Drive\Lavori\Insetti\FoodIN\Paper\Foods\foods-templat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foods-template.dot</Template>
  <TotalTime>202</TotalTime>
  <Pages>2</Pages>
  <Words>1123</Words>
  <Characters>6053</Characters>
  <Application>Microsoft Office Word</Application>
  <DocSecurity>0</DocSecurity>
  <Lines>127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7106</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Mozzon</dc:creator>
  <cp:keywords/>
  <dc:description/>
  <cp:lastModifiedBy>MDPI</cp:lastModifiedBy>
  <cp:revision>18</cp:revision>
  <dcterms:created xsi:type="dcterms:W3CDTF">2020-02-03T18:04:00Z</dcterms:created>
  <dcterms:modified xsi:type="dcterms:W3CDTF">2020-03-10T06:04:00Z</dcterms:modified>
</cp:coreProperties>
</file>