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B2A4DE5" w14:textId="6C13A10E" w:rsidR="0060168B" w:rsidRPr="00D30B32" w:rsidRDefault="003043A1" w:rsidP="0060168B">
      <w:pPr>
        <w:pStyle w:val="MDPI11articletype"/>
      </w:pPr>
      <w:r>
        <w:t>Supplementary Materials</w:t>
      </w:r>
    </w:p>
    <w:p w14:paraId="374345A8" w14:textId="77777777" w:rsidR="008C3CC7" w:rsidRPr="006658BE" w:rsidRDefault="008C3CC7" w:rsidP="008C3CC7">
      <w:pPr>
        <w:pStyle w:val="MDPI12title"/>
      </w:pPr>
      <w:r w:rsidRPr="006658BE">
        <w:t xml:space="preserve">Overexpression of </w:t>
      </w:r>
      <w:r w:rsidRPr="006658BE">
        <w:rPr>
          <w:i/>
        </w:rPr>
        <w:t>Kif1A</w:t>
      </w:r>
      <w:r w:rsidRPr="006658BE">
        <w:t xml:space="preserve"> in the </w:t>
      </w:r>
      <w:r>
        <w:t>D</w:t>
      </w:r>
      <w:r w:rsidRPr="006658BE">
        <w:t xml:space="preserve">eveloping </w:t>
      </w:r>
      <w:r w:rsidRPr="006658BE">
        <w:rPr>
          <w:i/>
        </w:rPr>
        <w:t>Drosophila</w:t>
      </w:r>
      <w:r w:rsidRPr="006658BE">
        <w:t xml:space="preserve"> </w:t>
      </w:r>
      <w:r w:rsidRPr="00AC0CA1">
        <w:t>Heart Causes Valvar and Contractility Defects: Implications for Human Congenital Heart Disease</w:t>
      </w:r>
    </w:p>
    <w:p w14:paraId="2AD4207D" w14:textId="77777777" w:rsidR="008C3CC7" w:rsidRPr="006658BE" w:rsidRDefault="008C3CC7" w:rsidP="008C3CC7">
      <w:pPr>
        <w:pStyle w:val="MDPI13authornames"/>
      </w:pPr>
      <w:r w:rsidRPr="00A06AAE">
        <w:t xml:space="preserve">Takeshi Akasaka </w:t>
      </w:r>
      <w:r w:rsidRPr="00A06AAE">
        <w:rPr>
          <w:vertAlign w:val="superscript"/>
        </w:rPr>
        <w:t>1,</w:t>
      </w:r>
      <w:r w:rsidRPr="006658BE">
        <w:rPr>
          <w:vertAlign w:val="superscript"/>
        </w:rPr>
        <w:t>3</w:t>
      </w:r>
      <w:r>
        <w:rPr>
          <w:vertAlign w:val="superscript"/>
        </w:rPr>
        <w:t>,</w:t>
      </w:r>
      <w:r w:rsidRPr="006658BE">
        <w:rPr>
          <w:vertAlign w:val="superscript"/>
        </w:rPr>
        <w:t>†</w:t>
      </w:r>
      <w:r>
        <w:t>,</w:t>
      </w:r>
      <w:r w:rsidRPr="006658BE">
        <w:t xml:space="preserve"> Karen Ocorr</w:t>
      </w:r>
      <w:r>
        <w:t xml:space="preserve"> </w:t>
      </w:r>
      <w:r w:rsidRPr="006658BE">
        <w:rPr>
          <w:vertAlign w:val="superscript"/>
        </w:rPr>
        <w:t>1</w:t>
      </w:r>
      <w:r>
        <w:rPr>
          <w:vertAlign w:val="superscript"/>
        </w:rPr>
        <w:t>,</w:t>
      </w:r>
      <w:r w:rsidRPr="006658BE">
        <w:rPr>
          <w:vertAlign w:val="superscript"/>
        </w:rPr>
        <w:t>†</w:t>
      </w:r>
      <w:r>
        <w:rPr>
          <w:vertAlign w:val="superscript"/>
        </w:rPr>
        <w:t>,</w:t>
      </w:r>
      <w:r w:rsidRPr="00441EF8">
        <w:t>*</w:t>
      </w:r>
      <w:r>
        <w:t>,</w:t>
      </w:r>
      <w:r w:rsidRPr="006658BE">
        <w:t xml:space="preserve"> Lizhu Lin</w:t>
      </w:r>
      <w:r>
        <w:t xml:space="preserve"> </w:t>
      </w:r>
      <w:r w:rsidRPr="006658BE">
        <w:rPr>
          <w:vertAlign w:val="superscript"/>
        </w:rPr>
        <w:t>2</w:t>
      </w:r>
      <w:r>
        <w:t>,</w:t>
      </w:r>
      <w:r w:rsidRPr="006658BE">
        <w:t xml:space="preserve"> Georg Vogler</w:t>
      </w:r>
      <w:r>
        <w:t xml:space="preserve"> </w:t>
      </w:r>
      <w:r w:rsidRPr="006658BE">
        <w:rPr>
          <w:vertAlign w:val="superscript"/>
        </w:rPr>
        <w:t>1</w:t>
      </w:r>
      <w:r>
        <w:t>,</w:t>
      </w:r>
      <w:r w:rsidRPr="006658BE">
        <w:t xml:space="preserve"> Rolf Bodmer</w:t>
      </w:r>
      <w:r>
        <w:t xml:space="preserve"> </w:t>
      </w:r>
      <w:r w:rsidRPr="006658BE">
        <w:rPr>
          <w:vertAlign w:val="superscript"/>
        </w:rPr>
        <w:t>1</w:t>
      </w:r>
      <w:r>
        <w:t xml:space="preserve"> and</w:t>
      </w:r>
      <w:r w:rsidRPr="006658BE">
        <w:t xml:space="preserve"> Paul Grossfeld</w:t>
      </w:r>
      <w:r>
        <w:t xml:space="preserve"> </w:t>
      </w:r>
      <w:r w:rsidRPr="006658BE">
        <w:rPr>
          <w:vertAlign w:val="superscript"/>
        </w:rPr>
        <w:t>2</w:t>
      </w:r>
      <w:r>
        <w:rPr>
          <w:vertAlign w:val="superscript"/>
        </w:rPr>
        <w:t>,</w:t>
      </w:r>
      <w:r w:rsidRPr="00441EF8">
        <w:t>*</w:t>
      </w:r>
    </w:p>
    <w:p w14:paraId="26EF28D0" w14:textId="77777777" w:rsidR="008C3CC7" w:rsidRPr="006658BE" w:rsidRDefault="008C3CC7" w:rsidP="008C3CC7">
      <w:pPr>
        <w:pStyle w:val="MDPI16affiliation"/>
      </w:pPr>
      <w:r w:rsidRPr="006658BE">
        <w:rPr>
          <w:vertAlign w:val="superscript"/>
        </w:rPr>
        <w:t>1</w:t>
      </w:r>
      <w:r w:rsidRPr="006658BE">
        <w:tab/>
        <w:t>Development, Aging &amp; Regeneration Program, Sanford Burnham Prebys Medical Discovery Institute, La Jolla, California, USA 92037</w:t>
      </w:r>
      <w:r>
        <w:t xml:space="preserve">; </w:t>
      </w:r>
      <w:r w:rsidRPr="009C24AD">
        <w:t>akasaka-cba@umin.ac.jp</w:t>
      </w:r>
      <w:r>
        <w:t xml:space="preserve"> (T.A.); </w:t>
      </w:r>
      <w:r w:rsidRPr="009C24AD">
        <w:t>gvogler@sbpdiscovery.org</w:t>
      </w:r>
      <w:r>
        <w:t xml:space="preserve"> (G.V.); </w:t>
      </w:r>
      <w:r w:rsidRPr="009C24AD">
        <w:t>rolf@sbpdiscovery.org</w:t>
      </w:r>
      <w:r>
        <w:t xml:space="preserve"> (R.B.)</w:t>
      </w:r>
    </w:p>
    <w:p w14:paraId="3FFD7F64" w14:textId="77777777" w:rsidR="008C3CC7" w:rsidRPr="006658BE" w:rsidRDefault="008C3CC7" w:rsidP="008C3CC7">
      <w:pPr>
        <w:pStyle w:val="MDPI16affiliation"/>
      </w:pPr>
      <w:r w:rsidRPr="006658BE">
        <w:rPr>
          <w:vertAlign w:val="superscript"/>
        </w:rPr>
        <w:t>2</w:t>
      </w:r>
      <w:r w:rsidRPr="006658BE">
        <w:tab/>
        <w:t>Division of Cardiology, Department of Pediatrics, UCSD School of Medicine, San Diego, California, USA</w:t>
      </w:r>
      <w:r>
        <w:t>;</w:t>
      </w:r>
      <w:r w:rsidRPr="006658BE">
        <w:t xml:space="preserve"> </w:t>
      </w:r>
      <w:r w:rsidRPr="00A06AAE">
        <w:t>lilin@health.ucsd.edu</w:t>
      </w:r>
      <w:r>
        <w:t xml:space="preserve"> (L.L)</w:t>
      </w:r>
    </w:p>
    <w:p w14:paraId="7B0CF245" w14:textId="77777777" w:rsidR="008C3CC7" w:rsidRPr="006658BE" w:rsidRDefault="008C3CC7" w:rsidP="008C3CC7">
      <w:pPr>
        <w:pStyle w:val="MDPI16affiliation"/>
      </w:pPr>
      <w:r w:rsidRPr="006658BE">
        <w:rPr>
          <w:vertAlign w:val="superscript"/>
        </w:rPr>
        <w:t>3</w:t>
      </w:r>
      <w:r w:rsidRPr="006658BE">
        <w:tab/>
      </w:r>
      <w:r w:rsidRPr="005466FC">
        <w:rPr>
          <w:rFonts w:hint="eastAsia"/>
        </w:rPr>
        <w:t>Cardiology and Catheterization Laboratories</w:t>
      </w:r>
      <w:r w:rsidRPr="005466FC">
        <w:t>,</w:t>
      </w:r>
      <w:r>
        <w:rPr>
          <w:rFonts w:ascii="Yu Gothic" w:eastAsia="Yu Gothic" w:hAnsi="Yu Gothic"/>
          <w:lang w:eastAsia="ja-JP"/>
        </w:rPr>
        <w:t xml:space="preserve"> </w:t>
      </w:r>
      <w:r w:rsidRPr="006658BE">
        <w:t xml:space="preserve">Shonan Fujisawa Tokushukai Hospital, Fujisawa City, 251-0041 Japan </w:t>
      </w:r>
      <w:r>
        <w:t>;</w:t>
      </w:r>
      <w:r w:rsidRPr="006658BE">
        <w:t xml:space="preserve"> </w:t>
      </w:r>
      <w:r w:rsidRPr="009C24AD">
        <w:t>akasaka-cba@umin.ac.jp</w:t>
      </w:r>
      <w:r>
        <w:t xml:space="preserve"> (T.A.)</w:t>
      </w:r>
    </w:p>
    <w:p w14:paraId="3AB74431" w14:textId="77777777" w:rsidR="008C3CC7" w:rsidRDefault="008C3CC7" w:rsidP="008C3CC7">
      <w:pPr>
        <w:pStyle w:val="MDPI16affiliation"/>
      </w:pPr>
      <w:r w:rsidRPr="00EC4DCF">
        <w:rPr>
          <w:b/>
        </w:rPr>
        <w:t>†</w:t>
      </w:r>
      <w:r w:rsidRPr="006658BE">
        <w:tab/>
      </w:r>
      <w:r>
        <w:t>These authors contributed equally to this manuscript</w:t>
      </w:r>
    </w:p>
    <w:p w14:paraId="23BFE0D9" w14:textId="77777777" w:rsidR="008C3CC7" w:rsidRPr="006658BE" w:rsidRDefault="008C3CC7" w:rsidP="008C3CC7">
      <w:pPr>
        <w:pStyle w:val="MDPI16affiliation"/>
      </w:pPr>
      <w:r w:rsidRPr="00EC4DCF">
        <w:rPr>
          <w:b/>
        </w:rPr>
        <w:t>*</w:t>
      </w:r>
      <w:r w:rsidRPr="006658BE">
        <w:rPr>
          <w:b/>
          <w:vertAlign w:val="superscript"/>
        </w:rPr>
        <w:tab/>
      </w:r>
      <w:r w:rsidRPr="006658BE">
        <w:t xml:space="preserve">Correspondence: </w:t>
      </w:r>
      <w:r w:rsidRPr="00F13246">
        <w:t>pgrossfeld@ucsd.edu</w:t>
      </w:r>
      <w:r>
        <w:rPr>
          <w:u w:color="0563C1"/>
        </w:rPr>
        <w:t xml:space="preserve"> (P.G.); </w:t>
      </w:r>
      <w:r w:rsidRPr="00F13246">
        <w:t>kocorr@sbpdiscovery.org</w:t>
      </w:r>
      <w:r>
        <w:rPr>
          <w:u w:color="0563C1"/>
        </w:rPr>
        <w:t xml:space="preserve"> (K.O.)</w:t>
      </w:r>
      <w:r w:rsidRPr="006658BE">
        <w:t xml:space="preserve">; </w:t>
      </w:r>
      <w:r>
        <w:t xml:space="preserve">Tel. </w:t>
      </w:r>
      <w:r w:rsidRPr="006658BE">
        <w:t>858-966-5855 (P.G.);</w:t>
      </w:r>
      <w:r>
        <w:t xml:space="preserve"> Tel. </w:t>
      </w:r>
      <w:r w:rsidRPr="006658BE">
        <w:t>858-795-5125 (K.O.)</w:t>
      </w:r>
    </w:p>
    <w:p w14:paraId="69301E15" w14:textId="15DE07E4" w:rsidR="00C45753" w:rsidRPr="005971DB" w:rsidRDefault="00C71B71" w:rsidP="00C71B71">
      <w:pPr>
        <w:pStyle w:val="MDPI41tablecaption"/>
        <w:rPr>
          <w:b/>
          <w:sz w:val="20"/>
          <w:highlight w:val="yellow"/>
        </w:rPr>
      </w:pPr>
      <w:r w:rsidRPr="00C71B71">
        <w:rPr>
          <w:b/>
          <w:vertAlign w:val="superscript"/>
        </w:rPr>
        <w:br w:type="page"/>
      </w:r>
      <w:r w:rsidRPr="00C71B71">
        <w:rPr>
          <w:b/>
          <w:bCs/>
        </w:rPr>
        <w:lastRenderedPageBreak/>
        <w:t xml:space="preserve">Table </w:t>
      </w:r>
      <w:r>
        <w:rPr>
          <w:b/>
          <w:bCs/>
        </w:rPr>
        <w:t>S</w:t>
      </w:r>
      <w:r w:rsidRPr="00C71B71">
        <w:rPr>
          <w:b/>
          <w:bCs/>
        </w:rPr>
        <w:t>1.</w:t>
      </w:r>
      <w:r w:rsidR="00C45753" w:rsidRPr="00C71B71">
        <w:rPr>
          <w:b/>
        </w:rPr>
        <w:t xml:space="preserve"> </w:t>
      </w:r>
      <w:r w:rsidR="00C45753" w:rsidRPr="005C4055">
        <w:t xml:space="preserve">Quantification of function in hearts from control and </w:t>
      </w:r>
      <w:r w:rsidR="00C45753" w:rsidRPr="005C4055">
        <w:rPr>
          <w:i/>
        </w:rPr>
        <w:t>Kif1A</w:t>
      </w:r>
      <w:r w:rsidR="00C45753" w:rsidRPr="005C4055">
        <w:t xml:space="preserve"> over-expression and knockdown (KD) flies.</w:t>
      </w:r>
    </w:p>
    <w:tbl>
      <w:tblPr>
        <w:tblW w:w="10134" w:type="dxa"/>
        <w:jc w:val="center"/>
        <w:tblLook w:val="04A0" w:firstRow="1" w:lastRow="0" w:firstColumn="1" w:lastColumn="0" w:noHBand="0" w:noVBand="1"/>
      </w:tblPr>
      <w:tblGrid>
        <w:gridCol w:w="1622"/>
        <w:gridCol w:w="935"/>
        <w:gridCol w:w="396"/>
        <w:gridCol w:w="1094"/>
        <w:gridCol w:w="1044"/>
        <w:gridCol w:w="1099"/>
        <w:gridCol w:w="1332"/>
        <w:gridCol w:w="1294"/>
        <w:gridCol w:w="1318"/>
      </w:tblGrid>
      <w:tr w:rsidR="00402076" w:rsidRPr="00402076" w14:paraId="216CE7ED" w14:textId="77777777" w:rsidTr="00900537">
        <w:trPr>
          <w:jc w:val="center"/>
        </w:trPr>
        <w:tc>
          <w:tcPr>
            <w:tcW w:w="0" w:type="auto"/>
            <w:tcBorders>
              <w:top w:val="single" w:sz="8" w:space="0" w:color="auto"/>
              <w:bottom w:val="single" w:sz="8" w:space="0" w:color="auto"/>
            </w:tcBorders>
            <w:shd w:val="clear" w:color="auto" w:fill="auto"/>
            <w:vAlign w:val="center"/>
            <w:hideMark/>
          </w:tcPr>
          <w:p w14:paraId="3940F025"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b/>
                <w:bCs/>
                <w:sz w:val="18"/>
                <w:szCs w:val="18"/>
                <w:lang w:eastAsia="en-US"/>
              </w:rPr>
            </w:pPr>
            <w:r w:rsidRPr="00402076">
              <w:rPr>
                <w:rFonts w:ascii="Palatino Linotype" w:hAnsi="Palatino Linotype" w:cs="Calibri"/>
                <w:b/>
                <w:bCs/>
                <w:sz w:val="18"/>
                <w:szCs w:val="18"/>
                <w:lang w:eastAsia="en-US"/>
              </w:rPr>
              <w:t>Genotype</w:t>
            </w:r>
          </w:p>
        </w:tc>
        <w:tc>
          <w:tcPr>
            <w:tcW w:w="0" w:type="auto"/>
            <w:tcBorders>
              <w:top w:val="single" w:sz="8" w:space="0" w:color="auto"/>
              <w:bottom w:val="single" w:sz="8" w:space="0" w:color="auto"/>
            </w:tcBorders>
            <w:shd w:val="clear" w:color="auto" w:fill="auto"/>
            <w:vAlign w:val="center"/>
            <w:hideMark/>
          </w:tcPr>
          <w:p w14:paraId="0B499B81"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b/>
                <w:bCs/>
                <w:sz w:val="18"/>
                <w:szCs w:val="18"/>
                <w:lang w:eastAsia="en-US"/>
              </w:rPr>
            </w:pPr>
            <w:r w:rsidRPr="00402076">
              <w:rPr>
                <w:rFonts w:ascii="Palatino Linotype" w:hAnsi="Palatino Linotype" w:cs="Calibri"/>
                <w:b/>
                <w:bCs/>
                <w:sz w:val="18"/>
                <w:szCs w:val="18"/>
                <w:lang w:eastAsia="en-US"/>
              </w:rPr>
              <w:t>Age (weeks)</w:t>
            </w:r>
          </w:p>
        </w:tc>
        <w:tc>
          <w:tcPr>
            <w:tcW w:w="0" w:type="auto"/>
            <w:tcBorders>
              <w:top w:val="single" w:sz="8" w:space="0" w:color="auto"/>
              <w:bottom w:val="single" w:sz="8" w:space="0" w:color="auto"/>
            </w:tcBorders>
            <w:shd w:val="clear" w:color="auto" w:fill="auto"/>
            <w:vAlign w:val="center"/>
            <w:hideMark/>
          </w:tcPr>
          <w:p w14:paraId="21DF5219"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b/>
                <w:bCs/>
                <w:sz w:val="18"/>
                <w:szCs w:val="18"/>
                <w:lang w:eastAsia="en-US"/>
              </w:rPr>
            </w:pPr>
            <w:r w:rsidRPr="00402076">
              <w:rPr>
                <w:rFonts w:ascii="Palatino Linotype" w:hAnsi="Palatino Linotype" w:cs="Calibri"/>
                <w:b/>
                <w:bCs/>
                <w:sz w:val="18"/>
                <w:szCs w:val="18"/>
                <w:lang w:eastAsia="en-US"/>
              </w:rPr>
              <w:t>N</w:t>
            </w:r>
          </w:p>
        </w:tc>
        <w:tc>
          <w:tcPr>
            <w:tcW w:w="1094" w:type="dxa"/>
            <w:tcBorders>
              <w:top w:val="single" w:sz="8" w:space="0" w:color="auto"/>
              <w:bottom w:val="single" w:sz="8" w:space="0" w:color="auto"/>
            </w:tcBorders>
            <w:shd w:val="clear" w:color="auto" w:fill="auto"/>
            <w:vAlign w:val="center"/>
            <w:hideMark/>
          </w:tcPr>
          <w:p w14:paraId="0F5D3F55"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b/>
                <w:bCs/>
                <w:sz w:val="18"/>
                <w:szCs w:val="18"/>
                <w:lang w:eastAsia="en-US"/>
              </w:rPr>
            </w:pPr>
            <w:r w:rsidRPr="00402076">
              <w:rPr>
                <w:rFonts w:ascii="Palatino Linotype" w:hAnsi="Palatino Linotype" w:cs="Calibri"/>
                <w:b/>
                <w:bCs/>
                <w:sz w:val="18"/>
                <w:szCs w:val="18"/>
                <w:lang w:eastAsia="en-US"/>
              </w:rPr>
              <w:t>Heart Period (sec)</w:t>
            </w:r>
          </w:p>
        </w:tc>
        <w:tc>
          <w:tcPr>
            <w:tcW w:w="1044" w:type="dxa"/>
            <w:tcBorders>
              <w:top w:val="single" w:sz="8" w:space="0" w:color="auto"/>
              <w:bottom w:val="single" w:sz="8" w:space="0" w:color="auto"/>
            </w:tcBorders>
            <w:shd w:val="clear" w:color="auto" w:fill="auto"/>
            <w:vAlign w:val="center"/>
            <w:hideMark/>
          </w:tcPr>
          <w:p w14:paraId="075366D7"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b/>
                <w:bCs/>
                <w:sz w:val="18"/>
                <w:szCs w:val="18"/>
                <w:lang w:eastAsia="en-US"/>
              </w:rPr>
            </w:pPr>
            <w:r w:rsidRPr="00402076">
              <w:rPr>
                <w:rFonts w:ascii="Palatino Linotype" w:hAnsi="Palatino Linotype" w:cs="Calibri"/>
                <w:b/>
                <w:bCs/>
                <w:sz w:val="18"/>
                <w:szCs w:val="18"/>
                <w:lang w:eastAsia="en-US"/>
              </w:rPr>
              <w:t>Diastolic Interval (sec)</w:t>
            </w:r>
          </w:p>
        </w:tc>
        <w:tc>
          <w:tcPr>
            <w:tcW w:w="0" w:type="auto"/>
            <w:tcBorders>
              <w:top w:val="single" w:sz="8" w:space="0" w:color="auto"/>
              <w:bottom w:val="single" w:sz="8" w:space="0" w:color="auto"/>
            </w:tcBorders>
            <w:shd w:val="clear" w:color="auto" w:fill="auto"/>
            <w:vAlign w:val="center"/>
            <w:hideMark/>
          </w:tcPr>
          <w:p w14:paraId="259CFA1C"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b/>
                <w:bCs/>
                <w:sz w:val="18"/>
                <w:szCs w:val="18"/>
                <w:lang w:eastAsia="en-US"/>
              </w:rPr>
            </w:pPr>
            <w:r w:rsidRPr="00402076">
              <w:rPr>
                <w:rFonts w:ascii="Palatino Linotype" w:hAnsi="Palatino Linotype" w:cs="Calibri"/>
                <w:b/>
                <w:bCs/>
                <w:sz w:val="18"/>
                <w:szCs w:val="18"/>
                <w:lang w:eastAsia="en-US"/>
              </w:rPr>
              <w:t>Systolic Interval (sec)</w:t>
            </w:r>
          </w:p>
        </w:tc>
        <w:tc>
          <w:tcPr>
            <w:tcW w:w="0" w:type="auto"/>
            <w:tcBorders>
              <w:top w:val="single" w:sz="8" w:space="0" w:color="auto"/>
              <w:bottom w:val="single" w:sz="8" w:space="0" w:color="auto"/>
            </w:tcBorders>
            <w:shd w:val="clear" w:color="auto" w:fill="auto"/>
            <w:vAlign w:val="center"/>
            <w:hideMark/>
          </w:tcPr>
          <w:p w14:paraId="1233B9E6"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b/>
                <w:bCs/>
                <w:sz w:val="18"/>
                <w:szCs w:val="18"/>
                <w:lang w:eastAsia="en-US"/>
              </w:rPr>
            </w:pPr>
            <w:r w:rsidRPr="00402076">
              <w:rPr>
                <w:rFonts w:ascii="Palatino Linotype" w:hAnsi="Palatino Linotype" w:cs="Calibri"/>
                <w:b/>
                <w:bCs/>
                <w:sz w:val="18"/>
                <w:szCs w:val="18"/>
                <w:lang w:eastAsia="en-US"/>
              </w:rPr>
              <w:t>Diastolic Diameter (microns)</w:t>
            </w:r>
          </w:p>
        </w:tc>
        <w:tc>
          <w:tcPr>
            <w:tcW w:w="0" w:type="auto"/>
            <w:tcBorders>
              <w:top w:val="single" w:sz="8" w:space="0" w:color="auto"/>
              <w:bottom w:val="single" w:sz="8" w:space="0" w:color="auto"/>
            </w:tcBorders>
            <w:shd w:val="clear" w:color="auto" w:fill="auto"/>
            <w:vAlign w:val="center"/>
            <w:hideMark/>
          </w:tcPr>
          <w:p w14:paraId="656F6918"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b/>
                <w:bCs/>
                <w:sz w:val="18"/>
                <w:szCs w:val="18"/>
                <w:lang w:eastAsia="en-US"/>
              </w:rPr>
            </w:pPr>
            <w:r w:rsidRPr="00402076">
              <w:rPr>
                <w:rFonts w:ascii="Palatino Linotype" w:hAnsi="Palatino Linotype" w:cs="Calibri"/>
                <w:b/>
                <w:bCs/>
                <w:sz w:val="18"/>
                <w:szCs w:val="18"/>
                <w:lang w:eastAsia="en-US"/>
              </w:rPr>
              <w:t>Systolic Diamter (microns)</w:t>
            </w:r>
          </w:p>
        </w:tc>
        <w:tc>
          <w:tcPr>
            <w:tcW w:w="0" w:type="auto"/>
            <w:tcBorders>
              <w:top w:val="single" w:sz="8" w:space="0" w:color="auto"/>
              <w:bottom w:val="single" w:sz="8" w:space="0" w:color="auto"/>
            </w:tcBorders>
            <w:shd w:val="clear" w:color="auto" w:fill="auto"/>
            <w:vAlign w:val="center"/>
            <w:hideMark/>
          </w:tcPr>
          <w:p w14:paraId="7E1FB4ED"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b/>
                <w:bCs/>
                <w:sz w:val="18"/>
                <w:szCs w:val="18"/>
                <w:lang w:eastAsia="en-US"/>
              </w:rPr>
            </w:pPr>
            <w:r w:rsidRPr="00402076">
              <w:rPr>
                <w:rFonts w:ascii="Palatino Linotype" w:hAnsi="Palatino Linotype" w:cs="Calibri"/>
                <w:b/>
                <w:bCs/>
                <w:sz w:val="18"/>
                <w:szCs w:val="18"/>
                <w:lang w:eastAsia="en-US"/>
              </w:rPr>
              <w:t>Fractional Shortening</w:t>
            </w:r>
          </w:p>
        </w:tc>
      </w:tr>
      <w:tr w:rsidR="00402076" w:rsidRPr="00402076" w14:paraId="6F3E8556" w14:textId="77777777" w:rsidTr="00900537">
        <w:trPr>
          <w:jc w:val="center"/>
        </w:trPr>
        <w:tc>
          <w:tcPr>
            <w:tcW w:w="0" w:type="auto"/>
            <w:vMerge w:val="restart"/>
            <w:tcBorders>
              <w:top w:val="nil"/>
              <w:bottom w:val="single" w:sz="4" w:space="0" w:color="auto"/>
            </w:tcBorders>
            <w:shd w:val="clear" w:color="auto" w:fill="auto"/>
            <w:vAlign w:val="center"/>
            <w:hideMark/>
          </w:tcPr>
          <w:p w14:paraId="6A0A4470"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b/>
                <w:bCs/>
                <w:sz w:val="18"/>
                <w:szCs w:val="18"/>
                <w:lang w:eastAsia="en-US"/>
              </w:rPr>
            </w:pPr>
            <w:r w:rsidRPr="00402076">
              <w:rPr>
                <w:rFonts w:ascii="Palatino Linotype" w:hAnsi="Palatino Linotype" w:cs="Calibri"/>
                <w:b/>
                <w:bCs/>
                <w:sz w:val="18"/>
                <w:szCs w:val="18"/>
                <w:lang w:eastAsia="en-US"/>
              </w:rPr>
              <w:t>UAS-Kif3 x yw (control)</w:t>
            </w:r>
          </w:p>
        </w:tc>
        <w:tc>
          <w:tcPr>
            <w:tcW w:w="0" w:type="auto"/>
            <w:tcBorders>
              <w:top w:val="nil"/>
              <w:bottom w:val="single" w:sz="4" w:space="0" w:color="auto"/>
            </w:tcBorders>
            <w:shd w:val="clear" w:color="auto" w:fill="auto"/>
            <w:vAlign w:val="center"/>
            <w:hideMark/>
          </w:tcPr>
          <w:p w14:paraId="26F0789F"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1</w:t>
            </w:r>
          </w:p>
        </w:tc>
        <w:tc>
          <w:tcPr>
            <w:tcW w:w="0" w:type="auto"/>
            <w:tcBorders>
              <w:top w:val="nil"/>
              <w:bottom w:val="single" w:sz="4" w:space="0" w:color="auto"/>
            </w:tcBorders>
            <w:shd w:val="clear" w:color="auto" w:fill="auto"/>
            <w:vAlign w:val="center"/>
            <w:hideMark/>
          </w:tcPr>
          <w:p w14:paraId="72502FDE"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13</w:t>
            </w:r>
          </w:p>
        </w:tc>
        <w:tc>
          <w:tcPr>
            <w:tcW w:w="1094" w:type="dxa"/>
            <w:tcBorders>
              <w:top w:val="single" w:sz="4" w:space="0" w:color="auto"/>
              <w:bottom w:val="single" w:sz="4" w:space="0" w:color="auto"/>
            </w:tcBorders>
            <w:shd w:val="clear" w:color="auto" w:fill="auto"/>
            <w:vAlign w:val="center"/>
            <w:hideMark/>
          </w:tcPr>
          <w:p w14:paraId="09495C20"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0.62 ± .04</w:t>
            </w:r>
          </w:p>
        </w:tc>
        <w:tc>
          <w:tcPr>
            <w:tcW w:w="1044" w:type="dxa"/>
            <w:tcBorders>
              <w:top w:val="single" w:sz="4" w:space="0" w:color="auto"/>
              <w:bottom w:val="single" w:sz="4" w:space="0" w:color="auto"/>
            </w:tcBorders>
            <w:shd w:val="clear" w:color="auto" w:fill="auto"/>
            <w:vAlign w:val="center"/>
            <w:hideMark/>
          </w:tcPr>
          <w:p w14:paraId="5E5FF07E"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0.41 ± .04</w:t>
            </w:r>
          </w:p>
        </w:tc>
        <w:tc>
          <w:tcPr>
            <w:tcW w:w="0" w:type="auto"/>
            <w:tcBorders>
              <w:top w:val="single" w:sz="4" w:space="0" w:color="auto"/>
              <w:bottom w:val="single" w:sz="4" w:space="0" w:color="auto"/>
            </w:tcBorders>
            <w:shd w:val="clear" w:color="auto" w:fill="auto"/>
            <w:vAlign w:val="center"/>
            <w:hideMark/>
          </w:tcPr>
          <w:p w14:paraId="219A0CCF"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0.21 ± .01</w:t>
            </w:r>
          </w:p>
        </w:tc>
        <w:tc>
          <w:tcPr>
            <w:tcW w:w="0" w:type="auto"/>
            <w:tcBorders>
              <w:top w:val="single" w:sz="4" w:space="0" w:color="auto"/>
              <w:bottom w:val="single" w:sz="4" w:space="0" w:color="auto"/>
            </w:tcBorders>
            <w:shd w:val="clear" w:color="auto" w:fill="auto"/>
            <w:vAlign w:val="center"/>
            <w:hideMark/>
          </w:tcPr>
          <w:p w14:paraId="2DEA1E6B"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75.4 ± 2.4</w:t>
            </w:r>
          </w:p>
        </w:tc>
        <w:tc>
          <w:tcPr>
            <w:tcW w:w="0" w:type="auto"/>
            <w:tcBorders>
              <w:top w:val="single" w:sz="4" w:space="0" w:color="auto"/>
              <w:bottom w:val="single" w:sz="4" w:space="0" w:color="auto"/>
            </w:tcBorders>
            <w:shd w:val="clear" w:color="auto" w:fill="auto"/>
            <w:vAlign w:val="center"/>
            <w:hideMark/>
          </w:tcPr>
          <w:p w14:paraId="099DB1B6"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46.9 ± 2.4</w:t>
            </w:r>
          </w:p>
        </w:tc>
        <w:tc>
          <w:tcPr>
            <w:tcW w:w="0" w:type="auto"/>
            <w:tcBorders>
              <w:top w:val="single" w:sz="4" w:space="0" w:color="auto"/>
              <w:bottom w:val="single" w:sz="4" w:space="0" w:color="auto"/>
            </w:tcBorders>
            <w:shd w:val="clear" w:color="auto" w:fill="auto"/>
            <w:vAlign w:val="center"/>
            <w:hideMark/>
          </w:tcPr>
          <w:p w14:paraId="01B7477F"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0.38 ± .02</w:t>
            </w:r>
          </w:p>
        </w:tc>
      </w:tr>
      <w:tr w:rsidR="00402076" w:rsidRPr="00402076" w14:paraId="64B235C8" w14:textId="77777777" w:rsidTr="00900537">
        <w:trPr>
          <w:jc w:val="center"/>
        </w:trPr>
        <w:tc>
          <w:tcPr>
            <w:tcW w:w="0" w:type="auto"/>
            <w:vMerge/>
            <w:tcBorders>
              <w:top w:val="nil"/>
              <w:bottom w:val="single" w:sz="4" w:space="0" w:color="auto"/>
            </w:tcBorders>
            <w:shd w:val="clear" w:color="auto" w:fill="auto"/>
            <w:vAlign w:val="center"/>
            <w:hideMark/>
          </w:tcPr>
          <w:p w14:paraId="4C8E28E8"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b/>
                <w:bCs/>
                <w:sz w:val="18"/>
                <w:szCs w:val="18"/>
                <w:lang w:eastAsia="en-US"/>
              </w:rPr>
            </w:pPr>
          </w:p>
        </w:tc>
        <w:tc>
          <w:tcPr>
            <w:tcW w:w="0" w:type="auto"/>
            <w:tcBorders>
              <w:top w:val="nil"/>
              <w:bottom w:val="single" w:sz="4" w:space="0" w:color="auto"/>
            </w:tcBorders>
            <w:shd w:val="clear" w:color="auto" w:fill="auto"/>
            <w:vAlign w:val="center"/>
            <w:hideMark/>
          </w:tcPr>
          <w:p w14:paraId="04C43602"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3</w:t>
            </w:r>
          </w:p>
        </w:tc>
        <w:tc>
          <w:tcPr>
            <w:tcW w:w="0" w:type="auto"/>
            <w:tcBorders>
              <w:top w:val="nil"/>
              <w:bottom w:val="single" w:sz="4" w:space="0" w:color="auto"/>
            </w:tcBorders>
            <w:shd w:val="clear" w:color="auto" w:fill="auto"/>
            <w:vAlign w:val="center"/>
            <w:hideMark/>
          </w:tcPr>
          <w:p w14:paraId="7658A983"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16</w:t>
            </w:r>
          </w:p>
        </w:tc>
        <w:tc>
          <w:tcPr>
            <w:tcW w:w="1094" w:type="dxa"/>
            <w:tcBorders>
              <w:top w:val="nil"/>
              <w:bottom w:val="single" w:sz="4" w:space="0" w:color="auto"/>
            </w:tcBorders>
            <w:shd w:val="clear" w:color="auto" w:fill="auto"/>
            <w:vAlign w:val="center"/>
            <w:hideMark/>
          </w:tcPr>
          <w:p w14:paraId="426C0F09"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0.75 ± .06</w:t>
            </w:r>
          </w:p>
        </w:tc>
        <w:tc>
          <w:tcPr>
            <w:tcW w:w="1044" w:type="dxa"/>
            <w:tcBorders>
              <w:top w:val="nil"/>
              <w:bottom w:val="single" w:sz="4" w:space="0" w:color="auto"/>
            </w:tcBorders>
            <w:shd w:val="clear" w:color="auto" w:fill="auto"/>
            <w:vAlign w:val="center"/>
            <w:hideMark/>
          </w:tcPr>
          <w:p w14:paraId="46899D44"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0.51 ± .06</w:t>
            </w:r>
          </w:p>
        </w:tc>
        <w:tc>
          <w:tcPr>
            <w:tcW w:w="0" w:type="auto"/>
            <w:tcBorders>
              <w:top w:val="nil"/>
              <w:bottom w:val="single" w:sz="4" w:space="0" w:color="auto"/>
            </w:tcBorders>
            <w:shd w:val="clear" w:color="auto" w:fill="auto"/>
            <w:vAlign w:val="center"/>
            <w:hideMark/>
          </w:tcPr>
          <w:p w14:paraId="2863211B"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0.24 ± .01</w:t>
            </w:r>
          </w:p>
        </w:tc>
        <w:tc>
          <w:tcPr>
            <w:tcW w:w="0" w:type="auto"/>
            <w:tcBorders>
              <w:top w:val="nil"/>
              <w:bottom w:val="single" w:sz="4" w:space="0" w:color="auto"/>
            </w:tcBorders>
            <w:shd w:val="clear" w:color="auto" w:fill="auto"/>
            <w:vAlign w:val="center"/>
            <w:hideMark/>
          </w:tcPr>
          <w:p w14:paraId="7DF9D5C2"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74.8 ± 2.4</w:t>
            </w:r>
          </w:p>
        </w:tc>
        <w:tc>
          <w:tcPr>
            <w:tcW w:w="0" w:type="auto"/>
            <w:tcBorders>
              <w:top w:val="nil"/>
              <w:bottom w:val="single" w:sz="4" w:space="0" w:color="auto"/>
            </w:tcBorders>
            <w:shd w:val="clear" w:color="auto" w:fill="auto"/>
            <w:vAlign w:val="center"/>
            <w:hideMark/>
          </w:tcPr>
          <w:p w14:paraId="748A6238"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45.5 ± 2.4</w:t>
            </w:r>
          </w:p>
        </w:tc>
        <w:tc>
          <w:tcPr>
            <w:tcW w:w="0" w:type="auto"/>
            <w:tcBorders>
              <w:top w:val="nil"/>
              <w:bottom w:val="single" w:sz="4" w:space="0" w:color="auto"/>
            </w:tcBorders>
            <w:shd w:val="clear" w:color="auto" w:fill="auto"/>
            <w:vAlign w:val="center"/>
            <w:hideMark/>
          </w:tcPr>
          <w:p w14:paraId="7BE6EA2A"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0.39 ± .02</w:t>
            </w:r>
          </w:p>
        </w:tc>
      </w:tr>
      <w:tr w:rsidR="00402076" w:rsidRPr="00402076" w14:paraId="54783D0C" w14:textId="77777777" w:rsidTr="00900537">
        <w:trPr>
          <w:jc w:val="center"/>
        </w:trPr>
        <w:tc>
          <w:tcPr>
            <w:tcW w:w="0" w:type="auto"/>
            <w:vMerge w:val="restart"/>
            <w:tcBorders>
              <w:top w:val="nil"/>
              <w:bottom w:val="single" w:sz="4" w:space="0" w:color="auto"/>
            </w:tcBorders>
            <w:shd w:val="clear" w:color="auto" w:fill="auto"/>
            <w:vAlign w:val="center"/>
            <w:hideMark/>
          </w:tcPr>
          <w:p w14:paraId="23C6227C"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b/>
                <w:bCs/>
                <w:sz w:val="18"/>
                <w:szCs w:val="18"/>
                <w:lang w:eastAsia="en-US"/>
              </w:rPr>
            </w:pPr>
            <w:r w:rsidRPr="00402076">
              <w:rPr>
                <w:rFonts w:ascii="Palatino Linotype" w:hAnsi="Palatino Linotype" w:cs="Calibri"/>
                <w:b/>
                <w:bCs/>
                <w:sz w:val="18"/>
                <w:szCs w:val="18"/>
                <w:lang w:eastAsia="en-US"/>
              </w:rPr>
              <w:t>twist24B-Gal4 x yw (control)</w:t>
            </w:r>
          </w:p>
        </w:tc>
        <w:tc>
          <w:tcPr>
            <w:tcW w:w="0" w:type="auto"/>
            <w:tcBorders>
              <w:top w:val="nil"/>
              <w:bottom w:val="single" w:sz="4" w:space="0" w:color="auto"/>
            </w:tcBorders>
            <w:shd w:val="clear" w:color="auto" w:fill="auto"/>
            <w:vAlign w:val="center"/>
            <w:hideMark/>
          </w:tcPr>
          <w:p w14:paraId="0325A6F3"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1</w:t>
            </w:r>
          </w:p>
        </w:tc>
        <w:tc>
          <w:tcPr>
            <w:tcW w:w="0" w:type="auto"/>
            <w:tcBorders>
              <w:top w:val="nil"/>
              <w:bottom w:val="single" w:sz="4" w:space="0" w:color="auto"/>
            </w:tcBorders>
            <w:shd w:val="clear" w:color="auto" w:fill="auto"/>
            <w:vAlign w:val="center"/>
            <w:hideMark/>
          </w:tcPr>
          <w:p w14:paraId="568258B8"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14</w:t>
            </w:r>
          </w:p>
        </w:tc>
        <w:tc>
          <w:tcPr>
            <w:tcW w:w="1094" w:type="dxa"/>
            <w:tcBorders>
              <w:top w:val="nil"/>
              <w:bottom w:val="single" w:sz="4" w:space="0" w:color="auto"/>
            </w:tcBorders>
            <w:shd w:val="clear" w:color="auto" w:fill="auto"/>
            <w:vAlign w:val="center"/>
            <w:hideMark/>
          </w:tcPr>
          <w:p w14:paraId="61927DA2"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0.80 ± .06</w:t>
            </w:r>
          </w:p>
        </w:tc>
        <w:tc>
          <w:tcPr>
            <w:tcW w:w="1044" w:type="dxa"/>
            <w:tcBorders>
              <w:top w:val="nil"/>
              <w:bottom w:val="single" w:sz="4" w:space="0" w:color="auto"/>
            </w:tcBorders>
            <w:shd w:val="clear" w:color="auto" w:fill="auto"/>
            <w:vAlign w:val="center"/>
            <w:hideMark/>
          </w:tcPr>
          <w:p w14:paraId="4BEAAB2F"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0.57 ± .06</w:t>
            </w:r>
          </w:p>
        </w:tc>
        <w:tc>
          <w:tcPr>
            <w:tcW w:w="0" w:type="auto"/>
            <w:tcBorders>
              <w:top w:val="nil"/>
              <w:bottom w:val="single" w:sz="4" w:space="0" w:color="auto"/>
            </w:tcBorders>
            <w:shd w:val="clear" w:color="auto" w:fill="auto"/>
            <w:vAlign w:val="center"/>
            <w:hideMark/>
          </w:tcPr>
          <w:p w14:paraId="04B6032B"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0.22 ± .01</w:t>
            </w:r>
          </w:p>
        </w:tc>
        <w:tc>
          <w:tcPr>
            <w:tcW w:w="0" w:type="auto"/>
            <w:tcBorders>
              <w:top w:val="nil"/>
              <w:bottom w:val="single" w:sz="4" w:space="0" w:color="auto"/>
            </w:tcBorders>
            <w:shd w:val="clear" w:color="auto" w:fill="auto"/>
            <w:vAlign w:val="center"/>
            <w:hideMark/>
          </w:tcPr>
          <w:p w14:paraId="55A43AF9"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68.6 ± 2.9</w:t>
            </w:r>
          </w:p>
        </w:tc>
        <w:tc>
          <w:tcPr>
            <w:tcW w:w="0" w:type="auto"/>
            <w:tcBorders>
              <w:top w:val="nil"/>
              <w:bottom w:val="single" w:sz="4" w:space="0" w:color="auto"/>
            </w:tcBorders>
            <w:shd w:val="clear" w:color="auto" w:fill="auto"/>
            <w:vAlign w:val="center"/>
            <w:hideMark/>
          </w:tcPr>
          <w:p w14:paraId="18773EB2"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43.6 ± 2.7</w:t>
            </w:r>
          </w:p>
        </w:tc>
        <w:tc>
          <w:tcPr>
            <w:tcW w:w="0" w:type="auto"/>
            <w:tcBorders>
              <w:top w:val="nil"/>
              <w:bottom w:val="single" w:sz="4" w:space="0" w:color="auto"/>
            </w:tcBorders>
            <w:shd w:val="clear" w:color="auto" w:fill="auto"/>
            <w:vAlign w:val="center"/>
            <w:hideMark/>
          </w:tcPr>
          <w:p w14:paraId="31ACFD25"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0.37 ± .02</w:t>
            </w:r>
          </w:p>
        </w:tc>
      </w:tr>
      <w:tr w:rsidR="00402076" w:rsidRPr="00402076" w14:paraId="6EE7C6F4" w14:textId="77777777" w:rsidTr="00900537">
        <w:trPr>
          <w:jc w:val="center"/>
        </w:trPr>
        <w:tc>
          <w:tcPr>
            <w:tcW w:w="0" w:type="auto"/>
            <w:vMerge/>
            <w:tcBorders>
              <w:top w:val="nil"/>
              <w:bottom w:val="single" w:sz="4" w:space="0" w:color="auto"/>
            </w:tcBorders>
            <w:shd w:val="clear" w:color="auto" w:fill="auto"/>
            <w:vAlign w:val="center"/>
            <w:hideMark/>
          </w:tcPr>
          <w:p w14:paraId="23CACF93"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b/>
                <w:bCs/>
                <w:sz w:val="18"/>
                <w:szCs w:val="18"/>
                <w:lang w:eastAsia="en-US"/>
              </w:rPr>
            </w:pPr>
          </w:p>
        </w:tc>
        <w:tc>
          <w:tcPr>
            <w:tcW w:w="0" w:type="auto"/>
            <w:tcBorders>
              <w:top w:val="nil"/>
              <w:bottom w:val="single" w:sz="4" w:space="0" w:color="auto"/>
            </w:tcBorders>
            <w:shd w:val="clear" w:color="auto" w:fill="auto"/>
            <w:vAlign w:val="center"/>
            <w:hideMark/>
          </w:tcPr>
          <w:p w14:paraId="368A088E"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3</w:t>
            </w:r>
          </w:p>
        </w:tc>
        <w:tc>
          <w:tcPr>
            <w:tcW w:w="0" w:type="auto"/>
            <w:tcBorders>
              <w:top w:val="nil"/>
              <w:bottom w:val="single" w:sz="4" w:space="0" w:color="auto"/>
            </w:tcBorders>
            <w:shd w:val="clear" w:color="auto" w:fill="auto"/>
            <w:vAlign w:val="center"/>
            <w:hideMark/>
          </w:tcPr>
          <w:p w14:paraId="6876F45E"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15</w:t>
            </w:r>
          </w:p>
        </w:tc>
        <w:tc>
          <w:tcPr>
            <w:tcW w:w="1094" w:type="dxa"/>
            <w:tcBorders>
              <w:top w:val="nil"/>
              <w:bottom w:val="single" w:sz="4" w:space="0" w:color="auto"/>
            </w:tcBorders>
            <w:shd w:val="clear" w:color="auto" w:fill="auto"/>
            <w:vAlign w:val="center"/>
            <w:hideMark/>
          </w:tcPr>
          <w:p w14:paraId="3689B09C"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0.75 ± .06</w:t>
            </w:r>
          </w:p>
        </w:tc>
        <w:tc>
          <w:tcPr>
            <w:tcW w:w="1044" w:type="dxa"/>
            <w:tcBorders>
              <w:top w:val="nil"/>
              <w:bottom w:val="single" w:sz="4" w:space="0" w:color="auto"/>
            </w:tcBorders>
            <w:shd w:val="clear" w:color="auto" w:fill="auto"/>
            <w:vAlign w:val="center"/>
            <w:hideMark/>
          </w:tcPr>
          <w:p w14:paraId="5B49312E"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0.51 ± .06</w:t>
            </w:r>
          </w:p>
        </w:tc>
        <w:tc>
          <w:tcPr>
            <w:tcW w:w="0" w:type="auto"/>
            <w:tcBorders>
              <w:top w:val="nil"/>
              <w:bottom w:val="single" w:sz="4" w:space="0" w:color="auto"/>
            </w:tcBorders>
            <w:shd w:val="clear" w:color="auto" w:fill="auto"/>
            <w:vAlign w:val="center"/>
            <w:hideMark/>
          </w:tcPr>
          <w:p w14:paraId="21F089C1"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0.24 ± .01</w:t>
            </w:r>
          </w:p>
        </w:tc>
        <w:tc>
          <w:tcPr>
            <w:tcW w:w="0" w:type="auto"/>
            <w:tcBorders>
              <w:top w:val="nil"/>
              <w:bottom w:val="single" w:sz="4" w:space="0" w:color="auto"/>
            </w:tcBorders>
            <w:shd w:val="clear" w:color="auto" w:fill="auto"/>
            <w:vAlign w:val="center"/>
            <w:hideMark/>
          </w:tcPr>
          <w:p w14:paraId="23E17500"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69.3 ± 3.8</w:t>
            </w:r>
          </w:p>
        </w:tc>
        <w:tc>
          <w:tcPr>
            <w:tcW w:w="0" w:type="auto"/>
            <w:tcBorders>
              <w:top w:val="nil"/>
              <w:bottom w:val="single" w:sz="4" w:space="0" w:color="auto"/>
            </w:tcBorders>
            <w:shd w:val="clear" w:color="auto" w:fill="auto"/>
            <w:vAlign w:val="center"/>
            <w:hideMark/>
          </w:tcPr>
          <w:p w14:paraId="1B524A35"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43.6 ± 2.7</w:t>
            </w:r>
          </w:p>
        </w:tc>
        <w:tc>
          <w:tcPr>
            <w:tcW w:w="0" w:type="auto"/>
            <w:tcBorders>
              <w:top w:val="nil"/>
              <w:bottom w:val="single" w:sz="4" w:space="0" w:color="auto"/>
            </w:tcBorders>
            <w:shd w:val="clear" w:color="auto" w:fill="auto"/>
            <w:vAlign w:val="center"/>
            <w:hideMark/>
          </w:tcPr>
          <w:p w14:paraId="3EF5987D"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0.35 ± .02</w:t>
            </w:r>
          </w:p>
        </w:tc>
      </w:tr>
      <w:tr w:rsidR="00402076" w:rsidRPr="00402076" w14:paraId="536AD12A" w14:textId="77777777" w:rsidTr="00900537">
        <w:trPr>
          <w:jc w:val="center"/>
        </w:trPr>
        <w:tc>
          <w:tcPr>
            <w:tcW w:w="0" w:type="auto"/>
            <w:vMerge w:val="restart"/>
            <w:tcBorders>
              <w:top w:val="nil"/>
              <w:bottom w:val="single" w:sz="4" w:space="0" w:color="000000"/>
            </w:tcBorders>
            <w:shd w:val="clear" w:color="auto" w:fill="auto"/>
            <w:vAlign w:val="center"/>
            <w:hideMark/>
          </w:tcPr>
          <w:p w14:paraId="4CC86CC9"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b/>
                <w:bCs/>
                <w:sz w:val="18"/>
                <w:szCs w:val="18"/>
                <w:lang w:eastAsia="en-US"/>
              </w:rPr>
            </w:pPr>
            <w:r w:rsidRPr="00402076">
              <w:rPr>
                <w:rFonts w:ascii="Palatino Linotype" w:hAnsi="Palatino Linotype" w:cs="Calibri"/>
                <w:b/>
                <w:bCs/>
                <w:sz w:val="18"/>
                <w:szCs w:val="18"/>
                <w:lang w:eastAsia="en-US"/>
              </w:rPr>
              <w:t>GMH5 x yw (control)</w:t>
            </w:r>
          </w:p>
        </w:tc>
        <w:tc>
          <w:tcPr>
            <w:tcW w:w="0" w:type="auto"/>
            <w:tcBorders>
              <w:top w:val="nil"/>
              <w:bottom w:val="single" w:sz="4" w:space="0" w:color="auto"/>
            </w:tcBorders>
            <w:shd w:val="clear" w:color="auto" w:fill="auto"/>
            <w:vAlign w:val="center"/>
            <w:hideMark/>
          </w:tcPr>
          <w:p w14:paraId="40023575"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1</w:t>
            </w:r>
          </w:p>
        </w:tc>
        <w:tc>
          <w:tcPr>
            <w:tcW w:w="0" w:type="auto"/>
            <w:tcBorders>
              <w:top w:val="nil"/>
              <w:bottom w:val="single" w:sz="4" w:space="0" w:color="auto"/>
            </w:tcBorders>
            <w:shd w:val="clear" w:color="auto" w:fill="auto"/>
            <w:vAlign w:val="center"/>
            <w:hideMark/>
          </w:tcPr>
          <w:p w14:paraId="2FC9AC8F"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8</w:t>
            </w:r>
          </w:p>
        </w:tc>
        <w:tc>
          <w:tcPr>
            <w:tcW w:w="1094" w:type="dxa"/>
            <w:tcBorders>
              <w:top w:val="nil"/>
              <w:bottom w:val="single" w:sz="4" w:space="0" w:color="auto"/>
            </w:tcBorders>
            <w:shd w:val="clear" w:color="auto" w:fill="auto"/>
            <w:vAlign w:val="center"/>
            <w:hideMark/>
          </w:tcPr>
          <w:p w14:paraId="66EDC8BB"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0.63 ± .05</w:t>
            </w:r>
          </w:p>
        </w:tc>
        <w:tc>
          <w:tcPr>
            <w:tcW w:w="1044" w:type="dxa"/>
            <w:tcBorders>
              <w:top w:val="nil"/>
              <w:bottom w:val="single" w:sz="4" w:space="0" w:color="auto"/>
            </w:tcBorders>
            <w:shd w:val="clear" w:color="auto" w:fill="auto"/>
            <w:vAlign w:val="center"/>
            <w:hideMark/>
          </w:tcPr>
          <w:p w14:paraId="4B3AA585"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0.40 ± .05</w:t>
            </w:r>
          </w:p>
        </w:tc>
        <w:tc>
          <w:tcPr>
            <w:tcW w:w="0" w:type="auto"/>
            <w:tcBorders>
              <w:top w:val="nil"/>
              <w:bottom w:val="single" w:sz="4" w:space="0" w:color="auto"/>
            </w:tcBorders>
            <w:shd w:val="clear" w:color="auto" w:fill="auto"/>
            <w:vAlign w:val="center"/>
            <w:hideMark/>
          </w:tcPr>
          <w:p w14:paraId="23ECB543"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0.23 ± .02</w:t>
            </w:r>
          </w:p>
        </w:tc>
        <w:tc>
          <w:tcPr>
            <w:tcW w:w="0" w:type="auto"/>
            <w:tcBorders>
              <w:top w:val="nil"/>
              <w:bottom w:val="single" w:sz="4" w:space="0" w:color="auto"/>
            </w:tcBorders>
            <w:shd w:val="clear" w:color="auto" w:fill="auto"/>
            <w:vAlign w:val="center"/>
            <w:hideMark/>
          </w:tcPr>
          <w:p w14:paraId="4AF28BED"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73.2 ± 3.9</w:t>
            </w:r>
          </w:p>
        </w:tc>
        <w:tc>
          <w:tcPr>
            <w:tcW w:w="0" w:type="auto"/>
            <w:tcBorders>
              <w:top w:val="nil"/>
              <w:bottom w:val="single" w:sz="4" w:space="0" w:color="auto"/>
            </w:tcBorders>
            <w:shd w:val="clear" w:color="auto" w:fill="auto"/>
            <w:vAlign w:val="center"/>
            <w:hideMark/>
          </w:tcPr>
          <w:p w14:paraId="55EEF2F7"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46.1 ± 2.6</w:t>
            </w:r>
          </w:p>
        </w:tc>
        <w:tc>
          <w:tcPr>
            <w:tcW w:w="0" w:type="auto"/>
            <w:tcBorders>
              <w:top w:val="nil"/>
              <w:bottom w:val="single" w:sz="4" w:space="0" w:color="auto"/>
            </w:tcBorders>
            <w:shd w:val="clear" w:color="auto" w:fill="auto"/>
            <w:vAlign w:val="center"/>
            <w:hideMark/>
          </w:tcPr>
          <w:p w14:paraId="4AEBCED6"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0.37 ± .02</w:t>
            </w:r>
          </w:p>
        </w:tc>
      </w:tr>
      <w:tr w:rsidR="00402076" w:rsidRPr="00402076" w14:paraId="365D713A" w14:textId="77777777" w:rsidTr="00900537">
        <w:trPr>
          <w:jc w:val="center"/>
        </w:trPr>
        <w:tc>
          <w:tcPr>
            <w:tcW w:w="0" w:type="auto"/>
            <w:vMerge/>
            <w:tcBorders>
              <w:top w:val="nil"/>
              <w:bottom w:val="single" w:sz="4" w:space="0" w:color="000000"/>
            </w:tcBorders>
            <w:shd w:val="clear" w:color="auto" w:fill="auto"/>
            <w:vAlign w:val="center"/>
            <w:hideMark/>
          </w:tcPr>
          <w:p w14:paraId="43E727E7"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b/>
                <w:bCs/>
                <w:sz w:val="18"/>
                <w:szCs w:val="18"/>
                <w:lang w:eastAsia="en-US"/>
              </w:rPr>
            </w:pPr>
          </w:p>
        </w:tc>
        <w:tc>
          <w:tcPr>
            <w:tcW w:w="0" w:type="auto"/>
            <w:tcBorders>
              <w:top w:val="nil"/>
              <w:bottom w:val="single" w:sz="4" w:space="0" w:color="auto"/>
            </w:tcBorders>
            <w:shd w:val="clear" w:color="auto" w:fill="auto"/>
            <w:vAlign w:val="center"/>
            <w:hideMark/>
          </w:tcPr>
          <w:p w14:paraId="15F2951F"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3</w:t>
            </w:r>
          </w:p>
        </w:tc>
        <w:tc>
          <w:tcPr>
            <w:tcW w:w="0" w:type="auto"/>
            <w:tcBorders>
              <w:top w:val="nil"/>
              <w:bottom w:val="single" w:sz="4" w:space="0" w:color="auto"/>
            </w:tcBorders>
            <w:shd w:val="clear" w:color="auto" w:fill="auto"/>
            <w:vAlign w:val="center"/>
            <w:hideMark/>
          </w:tcPr>
          <w:p w14:paraId="164F95B0"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29</w:t>
            </w:r>
          </w:p>
        </w:tc>
        <w:tc>
          <w:tcPr>
            <w:tcW w:w="1094" w:type="dxa"/>
            <w:tcBorders>
              <w:top w:val="nil"/>
              <w:bottom w:val="single" w:sz="4" w:space="0" w:color="auto"/>
            </w:tcBorders>
            <w:shd w:val="clear" w:color="auto" w:fill="auto"/>
            <w:vAlign w:val="center"/>
            <w:hideMark/>
          </w:tcPr>
          <w:p w14:paraId="062E4919"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0.70 ± .03</w:t>
            </w:r>
          </w:p>
        </w:tc>
        <w:tc>
          <w:tcPr>
            <w:tcW w:w="1044" w:type="dxa"/>
            <w:tcBorders>
              <w:top w:val="nil"/>
              <w:bottom w:val="single" w:sz="4" w:space="0" w:color="auto"/>
            </w:tcBorders>
            <w:shd w:val="clear" w:color="auto" w:fill="auto"/>
            <w:vAlign w:val="center"/>
            <w:hideMark/>
          </w:tcPr>
          <w:p w14:paraId="38B6F47D"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0.47 ± .03</w:t>
            </w:r>
          </w:p>
        </w:tc>
        <w:tc>
          <w:tcPr>
            <w:tcW w:w="0" w:type="auto"/>
            <w:tcBorders>
              <w:top w:val="nil"/>
              <w:bottom w:val="single" w:sz="4" w:space="0" w:color="auto"/>
            </w:tcBorders>
            <w:shd w:val="clear" w:color="auto" w:fill="auto"/>
            <w:vAlign w:val="center"/>
            <w:hideMark/>
          </w:tcPr>
          <w:p w14:paraId="5DCE1FEC"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0.23 ± .01</w:t>
            </w:r>
          </w:p>
        </w:tc>
        <w:tc>
          <w:tcPr>
            <w:tcW w:w="0" w:type="auto"/>
            <w:tcBorders>
              <w:top w:val="nil"/>
              <w:bottom w:val="single" w:sz="4" w:space="0" w:color="auto"/>
            </w:tcBorders>
            <w:shd w:val="clear" w:color="auto" w:fill="auto"/>
            <w:vAlign w:val="center"/>
            <w:hideMark/>
          </w:tcPr>
          <w:p w14:paraId="47AB89A2"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83.9 ± 1.9</w:t>
            </w:r>
          </w:p>
        </w:tc>
        <w:tc>
          <w:tcPr>
            <w:tcW w:w="0" w:type="auto"/>
            <w:tcBorders>
              <w:top w:val="nil"/>
              <w:bottom w:val="single" w:sz="4" w:space="0" w:color="auto"/>
            </w:tcBorders>
            <w:shd w:val="clear" w:color="auto" w:fill="auto"/>
            <w:vAlign w:val="center"/>
            <w:hideMark/>
          </w:tcPr>
          <w:p w14:paraId="1ACBF115"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48.4 ± 1.2</w:t>
            </w:r>
          </w:p>
        </w:tc>
        <w:tc>
          <w:tcPr>
            <w:tcW w:w="0" w:type="auto"/>
            <w:tcBorders>
              <w:top w:val="nil"/>
              <w:bottom w:val="single" w:sz="4" w:space="0" w:color="auto"/>
            </w:tcBorders>
            <w:shd w:val="clear" w:color="auto" w:fill="auto"/>
            <w:vAlign w:val="center"/>
            <w:hideMark/>
          </w:tcPr>
          <w:p w14:paraId="1CEC7551"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0.42 ± .01</w:t>
            </w:r>
          </w:p>
        </w:tc>
      </w:tr>
      <w:tr w:rsidR="00402076" w:rsidRPr="00402076" w14:paraId="1FB66491" w14:textId="77777777" w:rsidTr="00900537">
        <w:trPr>
          <w:jc w:val="center"/>
        </w:trPr>
        <w:tc>
          <w:tcPr>
            <w:tcW w:w="0" w:type="auto"/>
            <w:vMerge w:val="restart"/>
            <w:tcBorders>
              <w:top w:val="nil"/>
              <w:bottom w:val="single" w:sz="4" w:space="0" w:color="auto"/>
            </w:tcBorders>
            <w:shd w:val="clear" w:color="auto" w:fill="auto"/>
            <w:vAlign w:val="center"/>
            <w:hideMark/>
          </w:tcPr>
          <w:p w14:paraId="39CD9EE1"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b/>
                <w:bCs/>
                <w:sz w:val="18"/>
                <w:szCs w:val="18"/>
                <w:lang w:eastAsia="en-US"/>
              </w:rPr>
            </w:pPr>
            <w:r w:rsidRPr="00402076">
              <w:rPr>
                <w:rFonts w:ascii="Palatino Linotype" w:hAnsi="Palatino Linotype" w:cs="Calibri"/>
                <w:b/>
                <w:bCs/>
                <w:sz w:val="18"/>
                <w:szCs w:val="18"/>
                <w:lang w:eastAsia="en-US"/>
              </w:rPr>
              <w:t>UAS-Kif3 x twist24B-Gal4</w:t>
            </w:r>
          </w:p>
        </w:tc>
        <w:tc>
          <w:tcPr>
            <w:tcW w:w="0" w:type="auto"/>
            <w:tcBorders>
              <w:top w:val="nil"/>
              <w:bottom w:val="single" w:sz="4" w:space="0" w:color="auto"/>
            </w:tcBorders>
            <w:shd w:val="clear" w:color="auto" w:fill="auto"/>
            <w:vAlign w:val="center"/>
            <w:hideMark/>
          </w:tcPr>
          <w:p w14:paraId="2054EB4B"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1</w:t>
            </w:r>
          </w:p>
        </w:tc>
        <w:tc>
          <w:tcPr>
            <w:tcW w:w="0" w:type="auto"/>
            <w:tcBorders>
              <w:top w:val="nil"/>
              <w:bottom w:val="single" w:sz="4" w:space="0" w:color="auto"/>
            </w:tcBorders>
            <w:shd w:val="clear" w:color="auto" w:fill="auto"/>
            <w:vAlign w:val="center"/>
            <w:hideMark/>
          </w:tcPr>
          <w:p w14:paraId="74D34FA5"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15</w:t>
            </w:r>
          </w:p>
        </w:tc>
        <w:tc>
          <w:tcPr>
            <w:tcW w:w="1094" w:type="dxa"/>
            <w:tcBorders>
              <w:top w:val="nil"/>
              <w:bottom w:val="single" w:sz="4" w:space="0" w:color="auto"/>
            </w:tcBorders>
            <w:shd w:val="clear" w:color="auto" w:fill="auto"/>
            <w:vAlign w:val="center"/>
            <w:hideMark/>
          </w:tcPr>
          <w:p w14:paraId="69A35E02"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0.74 ± .07</w:t>
            </w:r>
          </w:p>
        </w:tc>
        <w:tc>
          <w:tcPr>
            <w:tcW w:w="1044" w:type="dxa"/>
            <w:tcBorders>
              <w:top w:val="nil"/>
              <w:bottom w:val="single" w:sz="4" w:space="0" w:color="auto"/>
            </w:tcBorders>
            <w:shd w:val="clear" w:color="auto" w:fill="auto"/>
            <w:vAlign w:val="center"/>
            <w:hideMark/>
          </w:tcPr>
          <w:p w14:paraId="3B5A5050"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0.51 ± .07</w:t>
            </w:r>
          </w:p>
        </w:tc>
        <w:tc>
          <w:tcPr>
            <w:tcW w:w="0" w:type="auto"/>
            <w:tcBorders>
              <w:top w:val="nil"/>
              <w:bottom w:val="single" w:sz="4" w:space="0" w:color="auto"/>
            </w:tcBorders>
            <w:shd w:val="clear" w:color="auto" w:fill="auto"/>
            <w:vAlign w:val="center"/>
            <w:hideMark/>
          </w:tcPr>
          <w:p w14:paraId="12C7E1E2"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0.22 ± .01</w:t>
            </w:r>
          </w:p>
        </w:tc>
        <w:tc>
          <w:tcPr>
            <w:tcW w:w="0" w:type="auto"/>
            <w:tcBorders>
              <w:top w:val="nil"/>
              <w:bottom w:val="single" w:sz="4" w:space="0" w:color="auto"/>
            </w:tcBorders>
            <w:shd w:val="clear" w:color="auto" w:fill="auto"/>
            <w:vAlign w:val="center"/>
            <w:hideMark/>
          </w:tcPr>
          <w:p w14:paraId="19316642"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74.3 ± 3.0</w:t>
            </w:r>
          </w:p>
        </w:tc>
        <w:tc>
          <w:tcPr>
            <w:tcW w:w="0" w:type="auto"/>
            <w:tcBorders>
              <w:top w:val="nil"/>
              <w:bottom w:val="single" w:sz="4" w:space="0" w:color="auto"/>
            </w:tcBorders>
            <w:shd w:val="clear" w:color="auto" w:fill="auto"/>
            <w:vAlign w:val="center"/>
            <w:hideMark/>
          </w:tcPr>
          <w:p w14:paraId="172CAC93"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53.0 ± 3.3</w:t>
            </w:r>
          </w:p>
        </w:tc>
        <w:tc>
          <w:tcPr>
            <w:tcW w:w="0" w:type="auto"/>
            <w:tcBorders>
              <w:top w:val="nil"/>
              <w:bottom w:val="single" w:sz="4" w:space="0" w:color="auto"/>
            </w:tcBorders>
            <w:shd w:val="clear" w:color="auto" w:fill="auto"/>
            <w:vAlign w:val="center"/>
            <w:hideMark/>
          </w:tcPr>
          <w:p w14:paraId="27E53887"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0.29 ± .02</w:t>
            </w:r>
          </w:p>
        </w:tc>
      </w:tr>
      <w:tr w:rsidR="00402076" w:rsidRPr="00402076" w14:paraId="3CBCE1ED" w14:textId="77777777" w:rsidTr="00900537">
        <w:trPr>
          <w:jc w:val="center"/>
        </w:trPr>
        <w:tc>
          <w:tcPr>
            <w:tcW w:w="0" w:type="auto"/>
            <w:vMerge/>
            <w:tcBorders>
              <w:top w:val="nil"/>
              <w:bottom w:val="single" w:sz="4" w:space="0" w:color="auto"/>
            </w:tcBorders>
            <w:shd w:val="clear" w:color="auto" w:fill="auto"/>
            <w:vAlign w:val="center"/>
            <w:hideMark/>
          </w:tcPr>
          <w:p w14:paraId="333CDA21"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b/>
                <w:bCs/>
                <w:sz w:val="18"/>
                <w:szCs w:val="18"/>
                <w:lang w:eastAsia="en-US"/>
              </w:rPr>
            </w:pPr>
          </w:p>
        </w:tc>
        <w:tc>
          <w:tcPr>
            <w:tcW w:w="0" w:type="auto"/>
            <w:tcBorders>
              <w:top w:val="nil"/>
              <w:bottom w:val="single" w:sz="4" w:space="0" w:color="auto"/>
            </w:tcBorders>
            <w:shd w:val="clear" w:color="auto" w:fill="auto"/>
            <w:vAlign w:val="center"/>
            <w:hideMark/>
          </w:tcPr>
          <w:p w14:paraId="4088FA75"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3</w:t>
            </w:r>
          </w:p>
        </w:tc>
        <w:tc>
          <w:tcPr>
            <w:tcW w:w="0" w:type="auto"/>
            <w:tcBorders>
              <w:top w:val="nil"/>
              <w:bottom w:val="single" w:sz="4" w:space="0" w:color="auto"/>
            </w:tcBorders>
            <w:shd w:val="clear" w:color="auto" w:fill="auto"/>
            <w:vAlign w:val="center"/>
            <w:hideMark/>
          </w:tcPr>
          <w:p w14:paraId="61FD2581"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16</w:t>
            </w:r>
          </w:p>
        </w:tc>
        <w:tc>
          <w:tcPr>
            <w:tcW w:w="1094" w:type="dxa"/>
            <w:tcBorders>
              <w:top w:val="nil"/>
              <w:bottom w:val="single" w:sz="4" w:space="0" w:color="auto"/>
            </w:tcBorders>
            <w:shd w:val="clear" w:color="auto" w:fill="auto"/>
            <w:vAlign w:val="center"/>
            <w:hideMark/>
          </w:tcPr>
          <w:p w14:paraId="4794BF3F"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0.72 ± .06</w:t>
            </w:r>
          </w:p>
        </w:tc>
        <w:tc>
          <w:tcPr>
            <w:tcW w:w="1044" w:type="dxa"/>
            <w:tcBorders>
              <w:top w:val="nil"/>
              <w:bottom w:val="single" w:sz="4" w:space="0" w:color="auto"/>
            </w:tcBorders>
            <w:shd w:val="clear" w:color="auto" w:fill="auto"/>
            <w:vAlign w:val="center"/>
            <w:hideMark/>
          </w:tcPr>
          <w:p w14:paraId="3079B79E"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0.47 ± .04</w:t>
            </w:r>
          </w:p>
        </w:tc>
        <w:tc>
          <w:tcPr>
            <w:tcW w:w="0" w:type="auto"/>
            <w:tcBorders>
              <w:top w:val="nil"/>
              <w:bottom w:val="single" w:sz="4" w:space="0" w:color="auto"/>
            </w:tcBorders>
            <w:shd w:val="clear" w:color="auto" w:fill="auto"/>
            <w:vAlign w:val="center"/>
            <w:hideMark/>
          </w:tcPr>
          <w:p w14:paraId="4885F92C"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0.26 ± .03</w:t>
            </w:r>
          </w:p>
        </w:tc>
        <w:tc>
          <w:tcPr>
            <w:tcW w:w="0" w:type="auto"/>
            <w:tcBorders>
              <w:top w:val="nil"/>
              <w:bottom w:val="single" w:sz="4" w:space="0" w:color="auto"/>
            </w:tcBorders>
            <w:shd w:val="clear" w:color="auto" w:fill="auto"/>
            <w:vAlign w:val="center"/>
            <w:hideMark/>
          </w:tcPr>
          <w:p w14:paraId="56B4DF7B"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69.7 ± 1.8</w:t>
            </w:r>
          </w:p>
        </w:tc>
        <w:tc>
          <w:tcPr>
            <w:tcW w:w="0" w:type="auto"/>
            <w:tcBorders>
              <w:top w:val="nil"/>
              <w:bottom w:val="single" w:sz="4" w:space="0" w:color="auto"/>
            </w:tcBorders>
            <w:shd w:val="clear" w:color="auto" w:fill="auto"/>
            <w:vAlign w:val="center"/>
            <w:hideMark/>
          </w:tcPr>
          <w:p w14:paraId="73EE4AFF"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50.3 ± 1.6</w:t>
            </w:r>
          </w:p>
        </w:tc>
        <w:tc>
          <w:tcPr>
            <w:tcW w:w="0" w:type="auto"/>
            <w:tcBorders>
              <w:top w:val="nil"/>
              <w:bottom w:val="single" w:sz="4" w:space="0" w:color="auto"/>
            </w:tcBorders>
            <w:shd w:val="clear" w:color="auto" w:fill="auto"/>
            <w:vAlign w:val="center"/>
            <w:hideMark/>
          </w:tcPr>
          <w:p w14:paraId="17C00642"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0.28 ± .01</w:t>
            </w:r>
          </w:p>
        </w:tc>
      </w:tr>
      <w:tr w:rsidR="006F743A" w:rsidRPr="00402076" w14:paraId="4E9581BF" w14:textId="77777777" w:rsidTr="00900537">
        <w:trPr>
          <w:jc w:val="center"/>
        </w:trPr>
        <w:tc>
          <w:tcPr>
            <w:tcW w:w="0" w:type="auto"/>
            <w:vMerge w:val="restart"/>
            <w:tcBorders>
              <w:top w:val="nil"/>
              <w:bottom w:val="nil"/>
            </w:tcBorders>
            <w:shd w:val="clear" w:color="auto" w:fill="auto"/>
            <w:vAlign w:val="center"/>
            <w:hideMark/>
          </w:tcPr>
          <w:p w14:paraId="353413AB"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b/>
                <w:bCs/>
                <w:sz w:val="18"/>
                <w:szCs w:val="18"/>
                <w:lang w:eastAsia="en-US"/>
              </w:rPr>
            </w:pPr>
            <w:r w:rsidRPr="00402076">
              <w:rPr>
                <w:rFonts w:ascii="Palatino Linotype" w:hAnsi="Palatino Linotype" w:cs="Calibri"/>
                <w:b/>
                <w:bCs/>
                <w:sz w:val="18"/>
                <w:szCs w:val="18"/>
                <w:lang w:eastAsia="en-US"/>
              </w:rPr>
              <w:t>UAS-Kif3 x GMH5-Gal4</w:t>
            </w:r>
          </w:p>
        </w:tc>
        <w:tc>
          <w:tcPr>
            <w:tcW w:w="0" w:type="auto"/>
            <w:tcBorders>
              <w:top w:val="nil"/>
              <w:bottom w:val="single" w:sz="4" w:space="0" w:color="auto"/>
            </w:tcBorders>
            <w:shd w:val="clear" w:color="auto" w:fill="auto"/>
            <w:vAlign w:val="center"/>
            <w:hideMark/>
          </w:tcPr>
          <w:p w14:paraId="29E36768"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1</w:t>
            </w:r>
          </w:p>
        </w:tc>
        <w:tc>
          <w:tcPr>
            <w:tcW w:w="0" w:type="auto"/>
            <w:tcBorders>
              <w:top w:val="nil"/>
              <w:bottom w:val="single" w:sz="4" w:space="0" w:color="auto"/>
            </w:tcBorders>
            <w:shd w:val="clear" w:color="auto" w:fill="auto"/>
            <w:vAlign w:val="center"/>
            <w:hideMark/>
          </w:tcPr>
          <w:p w14:paraId="1402C3EC"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15</w:t>
            </w:r>
          </w:p>
        </w:tc>
        <w:tc>
          <w:tcPr>
            <w:tcW w:w="1094" w:type="dxa"/>
            <w:tcBorders>
              <w:top w:val="nil"/>
              <w:bottom w:val="single" w:sz="4" w:space="0" w:color="auto"/>
            </w:tcBorders>
            <w:shd w:val="clear" w:color="auto" w:fill="auto"/>
            <w:vAlign w:val="center"/>
            <w:hideMark/>
          </w:tcPr>
          <w:p w14:paraId="4922DE9E"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0.75 ± .05</w:t>
            </w:r>
          </w:p>
        </w:tc>
        <w:tc>
          <w:tcPr>
            <w:tcW w:w="1044" w:type="dxa"/>
            <w:tcBorders>
              <w:top w:val="nil"/>
              <w:bottom w:val="single" w:sz="4" w:space="0" w:color="auto"/>
            </w:tcBorders>
            <w:shd w:val="clear" w:color="auto" w:fill="auto"/>
            <w:vAlign w:val="center"/>
            <w:hideMark/>
          </w:tcPr>
          <w:p w14:paraId="59C341D7"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0.53 ± .04</w:t>
            </w:r>
          </w:p>
        </w:tc>
        <w:tc>
          <w:tcPr>
            <w:tcW w:w="0" w:type="auto"/>
            <w:tcBorders>
              <w:top w:val="nil"/>
              <w:bottom w:val="single" w:sz="4" w:space="0" w:color="auto"/>
            </w:tcBorders>
            <w:shd w:val="clear" w:color="auto" w:fill="auto"/>
            <w:vAlign w:val="center"/>
            <w:hideMark/>
          </w:tcPr>
          <w:p w14:paraId="32C1CB45"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0.23 ± .01</w:t>
            </w:r>
          </w:p>
        </w:tc>
        <w:tc>
          <w:tcPr>
            <w:tcW w:w="0" w:type="auto"/>
            <w:tcBorders>
              <w:top w:val="nil"/>
              <w:bottom w:val="single" w:sz="4" w:space="0" w:color="auto"/>
            </w:tcBorders>
            <w:shd w:val="clear" w:color="auto" w:fill="auto"/>
            <w:vAlign w:val="center"/>
            <w:hideMark/>
          </w:tcPr>
          <w:p w14:paraId="4F9FDAB3"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76.3 ± 2.4</w:t>
            </w:r>
          </w:p>
        </w:tc>
        <w:tc>
          <w:tcPr>
            <w:tcW w:w="0" w:type="auto"/>
            <w:tcBorders>
              <w:top w:val="nil"/>
              <w:bottom w:val="single" w:sz="4" w:space="0" w:color="auto"/>
            </w:tcBorders>
            <w:shd w:val="clear" w:color="auto" w:fill="auto"/>
            <w:vAlign w:val="center"/>
            <w:hideMark/>
          </w:tcPr>
          <w:p w14:paraId="4295ED8D"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47.1 ± 1.7</w:t>
            </w:r>
          </w:p>
        </w:tc>
        <w:tc>
          <w:tcPr>
            <w:tcW w:w="0" w:type="auto"/>
            <w:tcBorders>
              <w:top w:val="nil"/>
              <w:bottom w:val="single" w:sz="4" w:space="0" w:color="auto"/>
            </w:tcBorders>
            <w:shd w:val="clear" w:color="auto" w:fill="auto"/>
            <w:vAlign w:val="center"/>
            <w:hideMark/>
          </w:tcPr>
          <w:p w14:paraId="0CC722FA"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0.38 ± .02</w:t>
            </w:r>
          </w:p>
        </w:tc>
      </w:tr>
      <w:tr w:rsidR="006F743A" w:rsidRPr="00402076" w14:paraId="2702601C" w14:textId="77777777" w:rsidTr="00900537">
        <w:trPr>
          <w:jc w:val="center"/>
        </w:trPr>
        <w:tc>
          <w:tcPr>
            <w:tcW w:w="0" w:type="auto"/>
            <w:vMerge/>
            <w:tcBorders>
              <w:top w:val="nil"/>
              <w:bottom w:val="nil"/>
            </w:tcBorders>
            <w:shd w:val="clear" w:color="auto" w:fill="auto"/>
            <w:vAlign w:val="center"/>
            <w:hideMark/>
          </w:tcPr>
          <w:p w14:paraId="589F6DAD"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b/>
                <w:bCs/>
                <w:sz w:val="18"/>
                <w:szCs w:val="18"/>
                <w:lang w:eastAsia="en-US"/>
              </w:rPr>
            </w:pPr>
          </w:p>
        </w:tc>
        <w:tc>
          <w:tcPr>
            <w:tcW w:w="0" w:type="auto"/>
            <w:tcBorders>
              <w:top w:val="nil"/>
              <w:bottom w:val="nil"/>
            </w:tcBorders>
            <w:shd w:val="clear" w:color="auto" w:fill="auto"/>
            <w:vAlign w:val="center"/>
            <w:hideMark/>
          </w:tcPr>
          <w:p w14:paraId="773F7843"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3</w:t>
            </w:r>
          </w:p>
        </w:tc>
        <w:tc>
          <w:tcPr>
            <w:tcW w:w="0" w:type="auto"/>
            <w:tcBorders>
              <w:top w:val="nil"/>
              <w:bottom w:val="nil"/>
            </w:tcBorders>
            <w:shd w:val="clear" w:color="auto" w:fill="auto"/>
            <w:vAlign w:val="center"/>
            <w:hideMark/>
          </w:tcPr>
          <w:p w14:paraId="58F58A30"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15</w:t>
            </w:r>
          </w:p>
        </w:tc>
        <w:tc>
          <w:tcPr>
            <w:tcW w:w="1094" w:type="dxa"/>
            <w:tcBorders>
              <w:top w:val="nil"/>
              <w:bottom w:val="nil"/>
            </w:tcBorders>
            <w:shd w:val="clear" w:color="auto" w:fill="auto"/>
            <w:vAlign w:val="center"/>
            <w:hideMark/>
          </w:tcPr>
          <w:p w14:paraId="5EC34A59"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0.78 ± .07</w:t>
            </w:r>
          </w:p>
        </w:tc>
        <w:tc>
          <w:tcPr>
            <w:tcW w:w="1044" w:type="dxa"/>
            <w:tcBorders>
              <w:top w:val="nil"/>
              <w:bottom w:val="nil"/>
            </w:tcBorders>
            <w:shd w:val="clear" w:color="auto" w:fill="auto"/>
            <w:vAlign w:val="center"/>
            <w:hideMark/>
          </w:tcPr>
          <w:p w14:paraId="05081C4A"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0.51 ± .05</w:t>
            </w:r>
          </w:p>
        </w:tc>
        <w:tc>
          <w:tcPr>
            <w:tcW w:w="0" w:type="auto"/>
            <w:tcBorders>
              <w:top w:val="nil"/>
              <w:bottom w:val="nil"/>
            </w:tcBorders>
            <w:shd w:val="clear" w:color="auto" w:fill="auto"/>
            <w:vAlign w:val="center"/>
            <w:hideMark/>
          </w:tcPr>
          <w:p w14:paraId="23320233"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0.27 ± .02</w:t>
            </w:r>
          </w:p>
        </w:tc>
        <w:tc>
          <w:tcPr>
            <w:tcW w:w="0" w:type="auto"/>
            <w:tcBorders>
              <w:top w:val="nil"/>
              <w:bottom w:val="nil"/>
            </w:tcBorders>
            <w:shd w:val="clear" w:color="auto" w:fill="auto"/>
            <w:vAlign w:val="center"/>
            <w:hideMark/>
          </w:tcPr>
          <w:p w14:paraId="508B24A9"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73.2 ± 3.3</w:t>
            </w:r>
          </w:p>
        </w:tc>
        <w:tc>
          <w:tcPr>
            <w:tcW w:w="0" w:type="auto"/>
            <w:tcBorders>
              <w:top w:val="nil"/>
              <w:bottom w:val="nil"/>
            </w:tcBorders>
            <w:shd w:val="clear" w:color="auto" w:fill="auto"/>
            <w:vAlign w:val="center"/>
            <w:hideMark/>
          </w:tcPr>
          <w:p w14:paraId="050A41D6"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48.7 ± 2.6</w:t>
            </w:r>
          </w:p>
        </w:tc>
        <w:tc>
          <w:tcPr>
            <w:tcW w:w="0" w:type="auto"/>
            <w:tcBorders>
              <w:top w:val="nil"/>
              <w:bottom w:val="nil"/>
            </w:tcBorders>
            <w:shd w:val="clear" w:color="auto" w:fill="auto"/>
            <w:vAlign w:val="center"/>
            <w:hideMark/>
          </w:tcPr>
          <w:p w14:paraId="758C6B6E"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0.33 ± .02</w:t>
            </w:r>
          </w:p>
        </w:tc>
      </w:tr>
      <w:tr w:rsidR="009D762F" w:rsidRPr="00402076" w14:paraId="7A43EBF7" w14:textId="77777777" w:rsidTr="00900537">
        <w:trPr>
          <w:jc w:val="center"/>
        </w:trPr>
        <w:tc>
          <w:tcPr>
            <w:tcW w:w="0" w:type="auto"/>
            <w:tcBorders>
              <w:top w:val="single" w:sz="8" w:space="0" w:color="auto"/>
              <w:bottom w:val="nil"/>
            </w:tcBorders>
            <w:shd w:val="clear" w:color="auto" w:fill="auto"/>
            <w:vAlign w:val="center"/>
            <w:hideMark/>
          </w:tcPr>
          <w:p w14:paraId="212DE379"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b/>
                <w:bCs/>
                <w:sz w:val="18"/>
                <w:szCs w:val="18"/>
                <w:lang w:eastAsia="en-US"/>
              </w:rPr>
            </w:pPr>
            <w:r w:rsidRPr="00402076">
              <w:rPr>
                <w:rFonts w:ascii="Palatino Linotype" w:hAnsi="Palatino Linotype" w:cs="Calibri"/>
                <w:b/>
                <w:bCs/>
                <w:sz w:val="18"/>
                <w:szCs w:val="18"/>
                <w:lang w:eastAsia="en-US"/>
              </w:rPr>
              <w:t>24B-Gal4 x w</w:t>
            </w:r>
            <w:r w:rsidRPr="00402076">
              <w:rPr>
                <w:rFonts w:ascii="Palatino Linotype" w:hAnsi="Palatino Linotype" w:cs="Calibri"/>
                <w:b/>
                <w:bCs/>
                <w:sz w:val="18"/>
                <w:szCs w:val="18"/>
                <w:vertAlign w:val="superscript"/>
                <w:lang w:eastAsia="en-US"/>
              </w:rPr>
              <w:t>1118</w:t>
            </w:r>
            <w:r w:rsidRPr="00402076">
              <w:rPr>
                <w:rFonts w:ascii="Palatino Linotype" w:hAnsi="Palatino Linotype" w:cs="Calibri"/>
                <w:b/>
                <w:bCs/>
                <w:sz w:val="18"/>
                <w:szCs w:val="18"/>
                <w:lang w:eastAsia="en-US"/>
              </w:rPr>
              <w:t xml:space="preserve"> (control)</w:t>
            </w:r>
          </w:p>
        </w:tc>
        <w:tc>
          <w:tcPr>
            <w:tcW w:w="0" w:type="auto"/>
            <w:tcBorders>
              <w:top w:val="single" w:sz="8" w:space="0" w:color="auto"/>
              <w:bottom w:val="nil"/>
            </w:tcBorders>
            <w:shd w:val="clear" w:color="auto" w:fill="auto"/>
            <w:vAlign w:val="center"/>
            <w:hideMark/>
          </w:tcPr>
          <w:p w14:paraId="787C4F80"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1</w:t>
            </w:r>
          </w:p>
        </w:tc>
        <w:tc>
          <w:tcPr>
            <w:tcW w:w="0" w:type="auto"/>
            <w:tcBorders>
              <w:top w:val="single" w:sz="8" w:space="0" w:color="auto"/>
              <w:bottom w:val="nil"/>
            </w:tcBorders>
            <w:shd w:val="clear" w:color="auto" w:fill="auto"/>
            <w:vAlign w:val="center"/>
            <w:hideMark/>
          </w:tcPr>
          <w:p w14:paraId="5402EAB1"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13</w:t>
            </w:r>
          </w:p>
        </w:tc>
        <w:tc>
          <w:tcPr>
            <w:tcW w:w="1094" w:type="dxa"/>
            <w:tcBorders>
              <w:top w:val="single" w:sz="8" w:space="0" w:color="auto"/>
              <w:bottom w:val="single" w:sz="4" w:space="0" w:color="auto"/>
            </w:tcBorders>
            <w:shd w:val="clear" w:color="auto" w:fill="auto"/>
            <w:vAlign w:val="center"/>
            <w:hideMark/>
          </w:tcPr>
          <w:p w14:paraId="0EF2789F"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0.77 ± .1</w:t>
            </w:r>
          </w:p>
        </w:tc>
        <w:tc>
          <w:tcPr>
            <w:tcW w:w="1044" w:type="dxa"/>
            <w:tcBorders>
              <w:top w:val="single" w:sz="8" w:space="0" w:color="auto"/>
              <w:bottom w:val="single" w:sz="4" w:space="0" w:color="auto"/>
            </w:tcBorders>
            <w:shd w:val="clear" w:color="auto" w:fill="auto"/>
            <w:vAlign w:val="center"/>
            <w:hideMark/>
          </w:tcPr>
          <w:p w14:paraId="070A29F5"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0.57 ± .09</w:t>
            </w:r>
          </w:p>
        </w:tc>
        <w:tc>
          <w:tcPr>
            <w:tcW w:w="0" w:type="auto"/>
            <w:tcBorders>
              <w:top w:val="single" w:sz="8" w:space="0" w:color="auto"/>
              <w:bottom w:val="single" w:sz="4" w:space="0" w:color="auto"/>
            </w:tcBorders>
            <w:shd w:val="clear" w:color="auto" w:fill="auto"/>
            <w:vAlign w:val="center"/>
            <w:hideMark/>
          </w:tcPr>
          <w:p w14:paraId="2BF84657"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0.21 ± .01</w:t>
            </w:r>
          </w:p>
        </w:tc>
        <w:tc>
          <w:tcPr>
            <w:tcW w:w="0" w:type="auto"/>
            <w:tcBorders>
              <w:top w:val="single" w:sz="8" w:space="0" w:color="auto"/>
              <w:bottom w:val="single" w:sz="4" w:space="0" w:color="auto"/>
            </w:tcBorders>
            <w:shd w:val="clear" w:color="auto" w:fill="auto"/>
            <w:vAlign w:val="center"/>
            <w:hideMark/>
          </w:tcPr>
          <w:p w14:paraId="6EAF4321"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101.7 ± .2.7</w:t>
            </w:r>
          </w:p>
        </w:tc>
        <w:tc>
          <w:tcPr>
            <w:tcW w:w="0" w:type="auto"/>
            <w:tcBorders>
              <w:top w:val="single" w:sz="8" w:space="0" w:color="auto"/>
              <w:bottom w:val="single" w:sz="4" w:space="0" w:color="auto"/>
            </w:tcBorders>
            <w:shd w:val="clear" w:color="auto" w:fill="auto"/>
            <w:vAlign w:val="center"/>
            <w:hideMark/>
          </w:tcPr>
          <w:p w14:paraId="54AF4CC9"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57.6 ± 2.6</w:t>
            </w:r>
          </w:p>
        </w:tc>
        <w:tc>
          <w:tcPr>
            <w:tcW w:w="0" w:type="auto"/>
            <w:tcBorders>
              <w:top w:val="single" w:sz="8" w:space="0" w:color="auto"/>
              <w:bottom w:val="single" w:sz="4" w:space="0" w:color="auto"/>
            </w:tcBorders>
            <w:shd w:val="clear" w:color="auto" w:fill="auto"/>
            <w:vAlign w:val="center"/>
            <w:hideMark/>
          </w:tcPr>
          <w:p w14:paraId="6421A857"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0.43 ± .02</w:t>
            </w:r>
          </w:p>
        </w:tc>
      </w:tr>
      <w:tr w:rsidR="006F743A" w:rsidRPr="00402076" w14:paraId="6F706795" w14:textId="77777777" w:rsidTr="00900537">
        <w:trPr>
          <w:jc w:val="center"/>
        </w:trPr>
        <w:tc>
          <w:tcPr>
            <w:tcW w:w="0" w:type="auto"/>
            <w:tcBorders>
              <w:top w:val="single" w:sz="4" w:space="0" w:color="auto"/>
              <w:bottom w:val="single" w:sz="4" w:space="0" w:color="auto"/>
            </w:tcBorders>
            <w:shd w:val="clear" w:color="auto" w:fill="auto"/>
            <w:vAlign w:val="center"/>
            <w:hideMark/>
          </w:tcPr>
          <w:p w14:paraId="1AC0652F" w14:textId="590B65E6" w:rsidR="006F743A" w:rsidRPr="00402076" w:rsidRDefault="006F743A" w:rsidP="00402076">
            <w:pPr>
              <w:autoSpaceDE w:val="0"/>
              <w:autoSpaceDN w:val="0"/>
              <w:adjustRightInd w:val="0"/>
              <w:snapToGrid w:val="0"/>
              <w:spacing w:line="240" w:lineRule="auto"/>
              <w:jc w:val="center"/>
              <w:rPr>
                <w:rFonts w:ascii="Palatino Linotype" w:hAnsi="Palatino Linotype" w:cs="Calibri"/>
                <w:b/>
                <w:bCs/>
                <w:sz w:val="18"/>
                <w:szCs w:val="18"/>
                <w:lang w:eastAsia="en-US"/>
              </w:rPr>
            </w:pPr>
            <w:r w:rsidRPr="00402076">
              <w:rPr>
                <w:rFonts w:ascii="Palatino Linotype" w:hAnsi="Palatino Linotype" w:cs="Calibri"/>
                <w:b/>
                <w:bCs/>
                <w:sz w:val="18"/>
                <w:szCs w:val="18"/>
                <w:lang w:eastAsia="en-US"/>
              </w:rPr>
              <w:t>24B-Gal4 x UAS-unc104a</w:t>
            </w:r>
          </w:p>
        </w:tc>
        <w:tc>
          <w:tcPr>
            <w:tcW w:w="0" w:type="auto"/>
            <w:tcBorders>
              <w:top w:val="single" w:sz="4" w:space="0" w:color="auto"/>
              <w:bottom w:val="single" w:sz="4" w:space="0" w:color="auto"/>
            </w:tcBorders>
            <w:shd w:val="clear" w:color="auto" w:fill="auto"/>
            <w:vAlign w:val="center"/>
            <w:hideMark/>
          </w:tcPr>
          <w:p w14:paraId="61F678B1"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1</w:t>
            </w:r>
          </w:p>
        </w:tc>
        <w:tc>
          <w:tcPr>
            <w:tcW w:w="0" w:type="auto"/>
            <w:tcBorders>
              <w:top w:val="single" w:sz="4" w:space="0" w:color="auto"/>
              <w:bottom w:val="single" w:sz="4" w:space="0" w:color="auto"/>
            </w:tcBorders>
            <w:shd w:val="clear" w:color="auto" w:fill="auto"/>
            <w:vAlign w:val="center"/>
            <w:hideMark/>
          </w:tcPr>
          <w:p w14:paraId="4780F61E"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16</w:t>
            </w:r>
          </w:p>
        </w:tc>
        <w:tc>
          <w:tcPr>
            <w:tcW w:w="1094" w:type="dxa"/>
            <w:tcBorders>
              <w:top w:val="nil"/>
              <w:bottom w:val="single" w:sz="4" w:space="0" w:color="auto"/>
            </w:tcBorders>
            <w:shd w:val="clear" w:color="auto" w:fill="auto"/>
            <w:vAlign w:val="center"/>
            <w:hideMark/>
          </w:tcPr>
          <w:p w14:paraId="396EB23E"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0.77 ± .06</w:t>
            </w:r>
          </w:p>
        </w:tc>
        <w:tc>
          <w:tcPr>
            <w:tcW w:w="1044" w:type="dxa"/>
            <w:tcBorders>
              <w:top w:val="nil"/>
              <w:bottom w:val="single" w:sz="4" w:space="0" w:color="auto"/>
            </w:tcBorders>
            <w:shd w:val="clear" w:color="auto" w:fill="auto"/>
            <w:vAlign w:val="center"/>
            <w:hideMark/>
          </w:tcPr>
          <w:p w14:paraId="66B8CA17"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0.58 ± .06</w:t>
            </w:r>
          </w:p>
        </w:tc>
        <w:tc>
          <w:tcPr>
            <w:tcW w:w="0" w:type="auto"/>
            <w:tcBorders>
              <w:top w:val="nil"/>
              <w:bottom w:val="single" w:sz="4" w:space="0" w:color="auto"/>
            </w:tcBorders>
            <w:shd w:val="clear" w:color="auto" w:fill="auto"/>
            <w:vAlign w:val="center"/>
            <w:hideMark/>
          </w:tcPr>
          <w:p w14:paraId="5A2DBED4"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0.19 ± .004</w:t>
            </w:r>
          </w:p>
        </w:tc>
        <w:tc>
          <w:tcPr>
            <w:tcW w:w="0" w:type="auto"/>
            <w:tcBorders>
              <w:top w:val="nil"/>
              <w:bottom w:val="single" w:sz="4" w:space="0" w:color="auto"/>
            </w:tcBorders>
            <w:shd w:val="clear" w:color="auto" w:fill="auto"/>
            <w:vAlign w:val="center"/>
            <w:hideMark/>
          </w:tcPr>
          <w:p w14:paraId="27FEA921"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88.5 ± 2.8</w:t>
            </w:r>
          </w:p>
        </w:tc>
        <w:tc>
          <w:tcPr>
            <w:tcW w:w="0" w:type="auto"/>
            <w:tcBorders>
              <w:top w:val="nil"/>
              <w:bottom w:val="single" w:sz="4" w:space="0" w:color="auto"/>
            </w:tcBorders>
            <w:shd w:val="clear" w:color="auto" w:fill="auto"/>
            <w:vAlign w:val="center"/>
            <w:hideMark/>
          </w:tcPr>
          <w:p w14:paraId="6FAB0FDB"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50.2 ± 2.0</w:t>
            </w:r>
          </w:p>
        </w:tc>
        <w:tc>
          <w:tcPr>
            <w:tcW w:w="0" w:type="auto"/>
            <w:tcBorders>
              <w:top w:val="nil"/>
              <w:bottom w:val="single" w:sz="4" w:space="0" w:color="auto"/>
            </w:tcBorders>
            <w:shd w:val="clear" w:color="auto" w:fill="auto"/>
            <w:vAlign w:val="center"/>
            <w:hideMark/>
          </w:tcPr>
          <w:p w14:paraId="108C3F98"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0.43 ± .01</w:t>
            </w:r>
          </w:p>
        </w:tc>
      </w:tr>
      <w:tr w:rsidR="00402076" w:rsidRPr="00402076" w14:paraId="018D5F41" w14:textId="77777777" w:rsidTr="00900537">
        <w:trPr>
          <w:jc w:val="center"/>
        </w:trPr>
        <w:tc>
          <w:tcPr>
            <w:tcW w:w="0" w:type="auto"/>
            <w:tcBorders>
              <w:top w:val="nil"/>
              <w:bottom w:val="single" w:sz="8" w:space="0" w:color="auto"/>
            </w:tcBorders>
            <w:shd w:val="clear" w:color="auto" w:fill="auto"/>
            <w:vAlign w:val="center"/>
            <w:hideMark/>
          </w:tcPr>
          <w:p w14:paraId="4642B644" w14:textId="3154580D" w:rsidR="006F743A" w:rsidRPr="00402076" w:rsidRDefault="006F743A" w:rsidP="00402076">
            <w:pPr>
              <w:autoSpaceDE w:val="0"/>
              <w:autoSpaceDN w:val="0"/>
              <w:adjustRightInd w:val="0"/>
              <w:snapToGrid w:val="0"/>
              <w:spacing w:line="240" w:lineRule="auto"/>
              <w:jc w:val="center"/>
              <w:rPr>
                <w:rFonts w:ascii="Palatino Linotype" w:hAnsi="Palatino Linotype" w:cs="Calibri"/>
                <w:b/>
                <w:bCs/>
                <w:sz w:val="18"/>
                <w:szCs w:val="18"/>
                <w:lang w:eastAsia="en-US"/>
              </w:rPr>
            </w:pPr>
            <w:r w:rsidRPr="00402076">
              <w:rPr>
                <w:rFonts w:ascii="Palatino Linotype" w:hAnsi="Palatino Linotype" w:cs="Calibri"/>
                <w:b/>
                <w:bCs/>
                <w:sz w:val="18"/>
                <w:szCs w:val="18"/>
                <w:lang w:eastAsia="en-US"/>
              </w:rPr>
              <w:t>24B-Gal4 x UAS-unc104b</w:t>
            </w:r>
          </w:p>
        </w:tc>
        <w:tc>
          <w:tcPr>
            <w:tcW w:w="0" w:type="auto"/>
            <w:tcBorders>
              <w:top w:val="nil"/>
              <w:bottom w:val="single" w:sz="8" w:space="0" w:color="auto"/>
            </w:tcBorders>
            <w:shd w:val="clear" w:color="auto" w:fill="auto"/>
            <w:vAlign w:val="center"/>
            <w:hideMark/>
          </w:tcPr>
          <w:p w14:paraId="0857215A"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1</w:t>
            </w:r>
          </w:p>
        </w:tc>
        <w:tc>
          <w:tcPr>
            <w:tcW w:w="0" w:type="auto"/>
            <w:tcBorders>
              <w:top w:val="nil"/>
              <w:bottom w:val="single" w:sz="8" w:space="0" w:color="auto"/>
            </w:tcBorders>
            <w:shd w:val="clear" w:color="auto" w:fill="auto"/>
            <w:vAlign w:val="center"/>
            <w:hideMark/>
          </w:tcPr>
          <w:p w14:paraId="11A73A96"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17</w:t>
            </w:r>
          </w:p>
        </w:tc>
        <w:tc>
          <w:tcPr>
            <w:tcW w:w="1094" w:type="dxa"/>
            <w:tcBorders>
              <w:top w:val="nil"/>
              <w:bottom w:val="single" w:sz="8" w:space="0" w:color="auto"/>
            </w:tcBorders>
            <w:shd w:val="clear" w:color="auto" w:fill="auto"/>
            <w:vAlign w:val="center"/>
            <w:hideMark/>
          </w:tcPr>
          <w:p w14:paraId="577F4B81"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0.64 ± 0.09</w:t>
            </w:r>
          </w:p>
        </w:tc>
        <w:tc>
          <w:tcPr>
            <w:tcW w:w="1044" w:type="dxa"/>
            <w:tcBorders>
              <w:top w:val="nil"/>
              <w:bottom w:val="single" w:sz="8" w:space="0" w:color="auto"/>
            </w:tcBorders>
            <w:shd w:val="clear" w:color="auto" w:fill="auto"/>
            <w:vAlign w:val="center"/>
            <w:hideMark/>
          </w:tcPr>
          <w:p w14:paraId="49808AD9"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0.44 ± .09</w:t>
            </w:r>
          </w:p>
        </w:tc>
        <w:tc>
          <w:tcPr>
            <w:tcW w:w="0" w:type="auto"/>
            <w:tcBorders>
              <w:top w:val="nil"/>
              <w:bottom w:val="single" w:sz="8" w:space="0" w:color="auto"/>
            </w:tcBorders>
            <w:shd w:val="clear" w:color="auto" w:fill="auto"/>
            <w:vAlign w:val="center"/>
            <w:hideMark/>
          </w:tcPr>
          <w:p w14:paraId="635B91C1"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0.20 ± .007</w:t>
            </w:r>
          </w:p>
        </w:tc>
        <w:tc>
          <w:tcPr>
            <w:tcW w:w="0" w:type="auto"/>
            <w:tcBorders>
              <w:top w:val="nil"/>
              <w:bottom w:val="single" w:sz="8" w:space="0" w:color="auto"/>
            </w:tcBorders>
            <w:shd w:val="clear" w:color="auto" w:fill="auto"/>
            <w:vAlign w:val="center"/>
            <w:hideMark/>
          </w:tcPr>
          <w:p w14:paraId="4AF37AAB"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95.6 ± 3.4</w:t>
            </w:r>
          </w:p>
        </w:tc>
        <w:tc>
          <w:tcPr>
            <w:tcW w:w="0" w:type="auto"/>
            <w:tcBorders>
              <w:top w:val="nil"/>
              <w:bottom w:val="single" w:sz="8" w:space="0" w:color="auto"/>
            </w:tcBorders>
            <w:shd w:val="clear" w:color="auto" w:fill="auto"/>
            <w:vAlign w:val="center"/>
            <w:hideMark/>
          </w:tcPr>
          <w:p w14:paraId="79B5DEFD"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57.2 ± 2.9</w:t>
            </w:r>
          </w:p>
        </w:tc>
        <w:tc>
          <w:tcPr>
            <w:tcW w:w="0" w:type="auto"/>
            <w:tcBorders>
              <w:top w:val="nil"/>
              <w:bottom w:val="single" w:sz="8" w:space="0" w:color="auto"/>
            </w:tcBorders>
            <w:shd w:val="clear" w:color="auto" w:fill="auto"/>
            <w:vAlign w:val="center"/>
            <w:hideMark/>
          </w:tcPr>
          <w:p w14:paraId="51388D31"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0.41 ± .01</w:t>
            </w:r>
          </w:p>
        </w:tc>
      </w:tr>
      <w:tr w:rsidR="006F743A" w:rsidRPr="00402076" w14:paraId="17E9309A" w14:textId="77777777" w:rsidTr="00900537">
        <w:trPr>
          <w:jc w:val="center"/>
        </w:trPr>
        <w:tc>
          <w:tcPr>
            <w:tcW w:w="0" w:type="auto"/>
            <w:tcBorders>
              <w:top w:val="nil"/>
              <w:bottom w:val="single" w:sz="4" w:space="0" w:color="auto"/>
            </w:tcBorders>
            <w:shd w:val="clear" w:color="auto" w:fill="auto"/>
            <w:vAlign w:val="center"/>
            <w:hideMark/>
          </w:tcPr>
          <w:p w14:paraId="278BFAE9"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b/>
                <w:bCs/>
                <w:sz w:val="18"/>
                <w:szCs w:val="18"/>
                <w:lang w:eastAsia="en-US"/>
              </w:rPr>
            </w:pPr>
            <w:r w:rsidRPr="00402076">
              <w:rPr>
                <w:rFonts w:ascii="Palatino Linotype" w:hAnsi="Palatino Linotype" w:cs="Calibri"/>
                <w:b/>
                <w:bCs/>
                <w:sz w:val="18"/>
                <w:szCs w:val="18"/>
                <w:lang w:eastAsia="en-US"/>
              </w:rPr>
              <w:t>24B-Gal4 x w</w:t>
            </w:r>
            <w:r w:rsidRPr="00402076">
              <w:rPr>
                <w:rFonts w:ascii="Palatino Linotype" w:hAnsi="Palatino Linotype" w:cs="Calibri"/>
                <w:b/>
                <w:bCs/>
                <w:sz w:val="18"/>
                <w:szCs w:val="18"/>
                <w:vertAlign w:val="superscript"/>
                <w:lang w:eastAsia="en-US"/>
              </w:rPr>
              <w:t xml:space="preserve">1118 </w:t>
            </w:r>
            <w:r w:rsidRPr="00402076">
              <w:rPr>
                <w:rFonts w:ascii="Palatino Linotype" w:hAnsi="Palatino Linotype" w:cs="Calibri"/>
                <w:b/>
                <w:bCs/>
                <w:sz w:val="18"/>
                <w:szCs w:val="18"/>
                <w:lang w:eastAsia="en-US"/>
              </w:rPr>
              <w:t>(control)</w:t>
            </w:r>
          </w:p>
        </w:tc>
        <w:tc>
          <w:tcPr>
            <w:tcW w:w="0" w:type="auto"/>
            <w:tcBorders>
              <w:top w:val="nil"/>
              <w:bottom w:val="single" w:sz="4" w:space="0" w:color="auto"/>
            </w:tcBorders>
            <w:shd w:val="clear" w:color="auto" w:fill="auto"/>
            <w:vAlign w:val="center"/>
            <w:hideMark/>
          </w:tcPr>
          <w:p w14:paraId="40257C43"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3</w:t>
            </w:r>
          </w:p>
        </w:tc>
        <w:tc>
          <w:tcPr>
            <w:tcW w:w="0" w:type="auto"/>
            <w:tcBorders>
              <w:top w:val="nil"/>
              <w:bottom w:val="single" w:sz="4" w:space="0" w:color="auto"/>
            </w:tcBorders>
            <w:shd w:val="clear" w:color="auto" w:fill="auto"/>
            <w:vAlign w:val="center"/>
            <w:hideMark/>
          </w:tcPr>
          <w:p w14:paraId="791CDD7B"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35</w:t>
            </w:r>
          </w:p>
        </w:tc>
        <w:tc>
          <w:tcPr>
            <w:tcW w:w="1094" w:type="dxa"/>
            <w:tcBorders>
              <w:top w:val="nil"/>
              <w:bottom w:val="single" w:sz="4" w:space="0" w:color="auto"/>
            </w:tcBorders>
            <w:shd w:val="clear" w:color="auto" w:fill="auto"/>
            <w:vAlign w:val="center"/>
            <w:hideMark/>
          </w:tcPr>
          <w:p w14:paraId="6369B69C"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0.81 ± .05</w:t>
            </w:r>
          </w:p>
        </w:tc>
        <w:tc>
          <w:tcPr>
            <w:tcW w:w="1044" w:type="dxa"/>
            <w:tcBorders>
              <w:top w:val="nil"/>
              <w:bottom w:val="single" w:sz="4" w:space="0" w:color="auto"/>
            </w:tcBorders>
            <w:shd w:val="clear" w:color="auto" w:fill="auto"/>
            <w:vAlign w:val="center"/>
            <w:hideMark/>
          </w:tcPr>
          <w:p w14:paraId="698F737C"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0.57 ± .06</w:t>
            </w:r>
          </w:p>
        </w:tc>
        <w:tc>
          <w:tcPr>
            <w:tcW w:w="0" w:type="auto"/>
            <w:tcBorders>
              <w:top w:val="nil"/>
              <w:bottom w:val="single" w:sz="4" w:space="0" w:color="auto"/>
            </w:tcBorders>
            <w:shd w:val="clear" w:color="auto" w:fill="auto"/>
            <w:vAlign w:val="center"/>
            <w:hideMark/>
          </w:tcPr>
          <w:p w14:paraId="3F4E3CB4"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0.24 ± .01</w:t>
            </w:r>
          </w:p>
        </w:tc>
        <w:tc>
          <w:tcPr>
            <w:tcW w:w="0" w:type="auto"/>
            <w:tcBorders>
              <w:top w:val="nil"/>
              <w:bottom w:val="single" w:sz="4" w:space="0" w:color="auto"/>
            </w:tcBorders>
            <w:shd w:val="clear" w:color="auto" w:fill="auto"/>
            <w:vAlign w:val="center"/>
            <w:hideMark/>
          </w:tcPr>
          <w:p w14:paraId="377BAB5E"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102.9 ± 1.7</w:t>
            </w:r>
          </w:p>
        </w:tc>
        <w:tc>
          <w:tcPr>
            <w:tcW w:w="0" w:type="auto"/>
            <w:tcBorders>
              <w:top w:val="nil"/>
              <w:bottom w:val="single" w:sz="4" w:space="0" w:color="auto"/>
            </w:tcBorders>
            <w:shd w:val="clear" w:color="auto" w:fill="auto"/>
            <w:vAlign w:val="center"/>
            <w:hideMark/>
          </w:tcPr>
          <w:p w14:paraId="1E6A1728"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61.9 ± 1.7</w:t>
            </w:r>
          </w:p>
        </w:tc>
        <w:tc>
          <w:tcPr>
            <w:tcW w:w="0" w:type="auto"/>
            <w:tcBorders>
              <w:top w:val="nil"/>
              <w:bottom w:val="single" w:sz="4" w:space="0" w:color="auto"/>
            </w:tcBorders>
            <w:shd w:val="clear" w:color="auto" w:fill="auto"/>
            <w:vAlign w:val="center"/>
            <w:hideMark/>
          </w:tcPr>
          <w:p w14:paraId="6707237C"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0.40 ± .01</w:t>
            </w:r>
          </w:p>
        </w:tc>
      </w:tr>
      <w:tr w:rsidR="00402076" w:rsidRPr="00402076" w14:paraId="23B6C5A3" w14:textId="77777777" w:rsidTr="00900537">
        <w:trPr>
          <w:jc w:val="center"/>
        </w:trPr>
        <w:tc>
          <w:tcPr>
            <w:tcW w:w="0" w:type="auto"/>
            <w:tcBorders>
              <w:top w:val="nil"/>
              <w:bottom w:val="single" w:sz="4" w:space="0" w:color="auto"/>
            </w:tcBorders>
            <w:shd w:val="clear" w:color="auto" w:fill="auto"/>
            <w:vAlign w:val="center"/>
            <w:hideMark/>
          </w:tcPr>
          <w:p w14:paraId="67FA54A4" w14:textId="32D356F8" w:rsidR="006F743A" w:rsidRPr="00402076" w:rsidRDefault="006F743A" w:rsidP="00402076">
            <w:pPr>
              <w:autoSpaceDE w:val="0"/>
              <w:autoSpaceDN w:val="0"/>
              <w:adjustRightInd w:val="0"/>
              <w:snapToGrid w:val="0"/>
              <w:spacing w:line="240" w:lineRule="auto"/>
              <w:jc w:val="center"/>
              <w:rPr>
                <w:rFonts w:ascii="Palatino Linotype" w:hAnsi="Palatino Linotype" w:cs="Calibri"/>
                <w:b/>
                <w:bCs/>
                <w:sz w:val="18"/>
                <w:szCs w:val="18"/>
                <w:lang w:eastAsia="en-US"/>
              </w:rPr>
            </w:pPr>
            <w:r w:rsidRPr="00402076">
              <w:rPr>
                <w:rFonts w:ascii="Palatino Linotype" w:hAnsi="Palatino Linotype" w:cs="Calibri"/>
                <w:b/>
                <w:bCs/>
                <w:sz w:val="18"/>
                <w:szCs w:val="18"/>
                <w:lang w:eastAsia="en-US"/>
              </w:rPr>
              <w:t>24B-Gal4 x UAS-kif3</w:t>
            </w:r>
          </w:p>
        </w:tc>
        <w:tc>
          <w:tcPr>
            <w:tcW w:w="0" w:type="auto"/>
            <w:tcBorders>
              <w:top w:val="nil"/>
              <w:bottom w:val="single" w:sz="4" w:space="0" w:color="auto"/>
            </w:tcBorders>
            <w:shd w:val="clear" w:color="auto" w:fill="auto"/>
            <w:vAlign w:val="center"/>
            <w:hideMark/>
          </w:tcPr>
          <w:p w14:paraId="098E0979"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3</w:t>
            </w:r>
          </w:p>
        </w:tc>
        <w:tc>
          <w:tcPr>
            <w:tcW w:w="0" w:type="auto"/>
            <w:tcBorders>
              <w:top w:val="nil"/>
              <w:bottom w:val="single" w:sz="4" w:space="0" w:color="auto"/>
            </w:tcBorders>
            <w:shd w:val="clear" w:color="auto" w:fill="auto"/>
            <w:vAlign w:val="center"/>
            <w:hideMark/>
          </w:tcPr>
          <w:p w14:paraId="290E1E08"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36</w:t>
            </w:r>
          </w:p>
        </w:tc>
        <w:tc>
          <w:tcPr>
            <w:tcW w:w="1094" w:type="dxa"/>
            <w:tcBorders>
              <w:top w:val="nil"/>
              <w:bottom w:val="single" w:sz="4" w:space="0" w:color="auto"/>
            </w:tcBorders>
            <w:shd w:val="clear" w:color="auto" w:fill="auto"/>
            <w:vAlign w:val="center"/>
            <w:hideMark/>
          </w:tcPr>
          <w:p w14:paraId="1DA2DFCA"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0.85 ± 0.04</w:t>
            </w:r>
          </w:p>
        </w:tc>
        <w:tc>
          <w:tcPr>
            <w:tcW w:w="1044" w:type="dxa"/>
            <w:tcBorders>
              <w:top w:val="nil"/>
              <w:bottom w:val="single" w:sz="4" w:space="0" w:color="auto"/>
            </w:tcBorders>
            <w:shd w:val="clear" w:color="auto" w:fill="auto"/>
            <w:vAlign w:val="center"/>
            <w:hideMark/>
          </w:tcPr>
          <w:p w14:paraId="0C701BC8"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0.62 ± .04</w:t>
            </w:r>
          </w:p>
        </w:tc>
        <w:tc>
          <w:tcPr>
            <w:tcW w:w="0" w:type="auto"/>
            <w:tcBorders>
              <w:top w:val="nil"/>
              <w:bottom w:val="single" w:sz="4" w:space="0" w:color="auto"/>
            </w:tcBorders>
            <w:shd w:val="clear" w:color="auto" w:fill="auto"/>
            <w:vAlign w:val="center"/>
            <w:hideMark/>
          </w:tcPr>
          <w:p w14:paraId="43E68180"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0.23 ± .01</w:t>
            </w:r>
          </w:p>
        </w:tc>
        <w:tc>
          <w:tcPr>
            <w:tcW w:w="0" w:type="auto"/>
            <w:tcBorders>
              <w:top w:val="nil"/>
              <w:bottom w:val="single" w:sz="4" w:space="0" w:color="auto"/>
            </w:tcBorders>
            <w:shd w:val="clear" w:color="auto" w:fill="auto"/>
            <w:vAlign w:val="center"/>
            <w:hideMark/>
          </w:tcPr>
          <w:p w14:paraId="7D02EE07"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101.7 ± 2.0</w:t>
            </w:r>
          </w:p>
        </w:tc>
        <w:tc>
          <w:tcPr>
            <w:tcW w:w="0" w:type="auto"/>
            <w:tcBorders>
              <w:top w:val="nil"/>
              <w:bottom w:val="single" w:sz="4" w:space="0" w:color="auto"/>
            </w:tcBorders>
            <w:shd w:val="clear" w:color="auto" w:fill="auto"/>
            <w:vAlign w:val="center"/>
            <w:hideMark/>
          </w:tcPr>
          <w:p w14:paraId="74727D46"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67.4 ± 1.8</w:t>
            </w:r>
          </w:p>
        </w:tc>
        <w:tc>
          <w:tcPr>
            <w:tcW w:w="0" w:type="auto"/>
            <w:tcBorders>
              <w:top w:val="nil"/>
              <w:bottom w:val="single" w:sz="4" w:space="0" w:color="auto"/>
            </w:tcBorders>
            <w:shd w:val="clear" w:color="auto" w:fill="auto"/>
            <w:vAlign w:val="center"/>
            <w:hideMark/>
          </w:tcPr>
          <w:p w14:paraId="673CD4A6"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0.34 ± .01</w:t>
            </w:r>
          </w:p>
        </w:tc>
      </w:tr>
      <w:tr w:rsidR="006F743A" w:rsidRPr="00402076" w14:paraId="221E0B80" w14:textId="77777777" w:rsidTr="00900537">
        <w:trPr>
          <w:jc w:val="center"/>
        </w:trPr>
        <w:tc>
          <w:tcPr>
            <w:tcW w:w="0" w:type="auto"/>
            <w:tcBorders>
              <w:top w:val="nil"/>
              <w:bottom w:val="single" w:sz="4" w:space="0" w:color="auto"/>
            </w:tcBorders>
            <w:shd w:val="clear" w:color="auto" w:fill="auto"/>
            <w:vAlign w:val="center"/>
            <w:hideMark/>
          </w:tcPr>
          <w:p w14:paraId="35C8D62E"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b/>
                <w:bCs/>
                <w:sz w:val="18"/>
                <w:szCs w:val="18"/>
                <w:lang w:eastAsia="en-US"/>
              </w:rPr>
            </w:pPr>
            <w:r w:rsidRPr="00402076">
              <w:rPr>
                <w:rFonts w:ascii="Palatino Linotype" w:hAnsi="Palatino Linotype" w:cs="Calibri"/>
                <w:b/>
                <w:bCs/>
                <w:sz w:val="18"/>
                <w:szCs w:val="18"/>
                <w:lang w:eastAsia="en-US"/>
              </w:rPr>
              <w:t>mef2-Gal4 x w</w:t>
            </w:r>
            <w:r w:rsidRPr="00402076">
              <w:rPr>
                <w:rFonts w:ascii="Palatino Linotype" w:hAnsi="Palatino Linotype" w:cs="Calibri"/>
                <w:b/>
                <w:bCs/>
                <w:sz w:val="18"/>
                <w:szCs w:val="18"/>
                <w:vertAlign w:val="superscript"/>
                <w:lang w:eastAsia="en-US"/>
              </w:rPr>
              <w:t xml:space="preserve">1118 </w:t>
            </w:r>
            <w:r w:rsidRPr="00402076">
              <w:rPr>
                <w:rFonts w:ascii="Palatino Linotype" w:hAnsi="Palatino Linotype" w:cs="Calibri"/>
                <w:b/>
                <w:bCs/>
                <w:sz w:val="18"/>
                <w:szCs w:val="18"/>
                <w:lang w:eastAsia="en-US"/>
              </w:rPr>
              <w:t>(control)</w:t>
            </w:r>
          </w:p>
        </w:tc>
        <w:tc>
          <w:tcPr>
            <w:tcW w:w="0" w:type="auto"/>
            <w:tcBorders>
              <w:top w:val="nil"/>
              <w:bottom w:val="single" w:sz="4" w:space="0" w:color="auto"/>
            </w:tcBorders>
            <w:shd w:val="clear" w:color="auto" w:fill="auto"/>
            <w:vAlign w:val="center"/>
            <w:hideMark/>
          </w:tcPr>
          <w:p w14:paraId="74CD85FD"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3</w:t>
            </w:r>
          </w:p>
        </w:tc>
        <w:tc>
          <w:tcPr>
            <w:tcW w:w="0" w:type="auto"/>
            <w:tcBorders>
              <w:top w:val="nil"/>
              <w:bottom w:val="single" w:sz="4" w:space="0" w:color="auto"/>
            </w:tcBorders>
            <w:shd w:val="clear" w:color="auto" w:fill="auto"/>
            <w:vAlign w:val="center"/>
            <w:hideMark/>
          </w:tcPr>
          <w:p w14:paraId="0B9A2E9A"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20</w:t>
            </w:r>
          </w:p>
        </w:tc>
        <w:tc>
          <w:tcPr>
            <w:tcW w:w="1094" w:type="dxa"/>
            <w:tcBorders>
              <w:top w:val="nil"/>
              <w:bottom w:val="single" w:sz="4" w:space="0" w:color="auto"/>
            </w:tcBorders>
            <w:shd w:val="clear" w:color="auto" w:fill="auto"/>
            <w:vAlign w:val="center"/>
            <w:hideMark/>
          </w:tcPr>
          <w:p w14:paraId="34FA8ECE"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0.91 ± .07</w:t>
            </w:r>
          </w:p>
        </w:tc>
        <w:tc>
          <w:tcPr>
            <w:tcW w:w="1044" w:type="dxa"/>
            <w:tcBorders>
              <w:top w:val="nil"/>
              <w:bottom w:val="single" w:sz="4" w:space="0" w:color="auto"/>
            </w:tcBorders>
            <w:shd w:val="clear" w:color="auto" w:fill="auto"/>
            <w:vAlign w:val="center"/>
            <w:hideMark/>
          </w:tcPr>
          <w:p w14:paraId="0B454BE8"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0.65 ± .07</w:t>
            </w:r>
          </w:p>
        </w:tc>
        <w:tc>
          <w:tcPr>
            <w:tcW w:w="0" w:type="auto"/>
            <w:tcBorders>
              <w:top w:val="nil"/>
              <w:bottom w:val="single" w:sz="4" w:space="0" w:color="auto"/>
            </w:tcBorders>
            <w:shd w:val="clear" w:color="auto" w:fill="auto"/>
            <w:vAlign w:val="center"/>
            <w:hideMark/>
          </w:tcPr>
          <w:p w14:paraId="7C7DB94D"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0.27 ± .01</w:t>
            </w:r>
          </w:p>
        </w:tc>
        <w:tc>
          <w:tcPr>
            <w:tcW w:w="0" w:type="auto"/>
            <w:tcBorders>
              <w:top w:val="nil"/>
              <w:bottom w:val="single" w:sz="4" w:space="0" w:color="auto"/>
            </w:tcBorders>
            <w:shd w:val="clear" w:color="auto" w:fill="auto"/>
            <w:vAlign w:val="center"/>
            <w:hideMark/>
          </w:tcPr>
          <w:p w14:paraId="7E3ABDBF"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94.9 ± 2.4</w:t>
            </w:r>
          </w:p>
        </w:tc>
        <w:tc>
          <w:tcPr>
            <w:tcW w:w="0" w:type="auto"/>
            <w:tcBorders>
              <w:top w:val="nil"/>
              <w:bottom w:val="single" w:sz="4" w:space="0" w:color="auto"/>
            </w:tcBorders>
            <w:shd w:val="clear" w:color="auto" w:fill="auto"/>
            <w:vAlign w:val="center"/>
            <w:hideMark/>
          </w:tcPr>
          <w:p w14:paraId="2E8E557A"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55.2 ± 1.6</w:t>
            </w:r>
          </w:p>
        </w:tc>
        <w:tc>
          <w:tcPr>
            <w:tcW w:w="0" w:type="auto"/>
            <w:tcBorders>
              <w:top w:val="nil"/>
              <w:bottom w:val="single" w:sz="4" w:space="0" w:color="auto"/>
            </w:tcBorders>
            <w:shd w:val="clear" w:color="auto" w:fill="auto"/>
            <w:vAlign w:val="center"/>
            <w:hideMark/>
          </w:tcPr>
          <w:p w14:paraId="2572045C"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0.42 ± .01</w:t>
            </w:r>
          </w:p>
        </w:tc>
      </w:tr>
      <w:tr w:rsidR="00402076" w:rsidRPr="00402076" w14:paraId="03A0423F" w14:textId="77777777" w:rsidTr="00900537">
        <w:trPr>
          <w:jc w:val="center"/>
        </w:trPr>
        <w:tc>
          <w:tcPr>
            <w:tcW w:w="0" w:type="auto"/>
            <w:tcBorders>
              <w:top w:val="nil"/>
              <w:bottom w:val="single" w:sz="8" w:space="0" w:color="auto"/>
            </w:tcBorders>
            <w:shd w:val="clear" w:color="auto" w:fill="auto"/>
            <w:vAlign w:val="center"/>
            <w:hideMark/>
          </w:tcPr>
          <w:p w14:paraId="75ABEB50" w14:textId="15D1C171" w:rsidR="006F743A" w:rsidRPr="00402076" w:rsidRDefault="006F743A" w:rsidP="00402076">
            <w:pPr>
              <w:autoSpaceDE w:val="0"/>
              <w:autoSpaceDN w:val="0"/>
              <w:adjustRightInd w:val="0"/>
              <w:snapToGrid w:val="0"/>
              <w:spacing w:line="240" w:lineRule="auto"/>
              <w:jc w:val="center"/>
              <w:rPr>
                <w:rFonts w:ascii="Palatino Linotype" w:hAnsi="Palatino Linotype" w:cs="Calibri"/>
                <w:b/>
                <w:bCs/>
                <w:sz w:val="18"/>
                <w:szCs w:val="18"/>
                <w:lang w:eastAsia="en-US"/>
              </w:rPr>
            </w:pPr>
            <w:r w:rsidRPr="00402076">
              <w:rPr>
                <w:rFonts w:ascii="Palatino Linotype" w:hAnsi="Palatino Linotype" w:cs="Calibri"/>
                <w:b/>
                <w:bCs/>
                <w:sz w:val="18"/>
                <w:szCs w:val="18"/>
                <w:lang w:eastAsia="en-US"/>
              </w:rPr>
              <w:t>mef2-Gal4 x UAS-kif3</w:t>
            </w:r>
          </w:p>
        </w:tc>
        <w:tc>
          <w:tcPr>
            <w:tcW w:w="0" w:type="auto"/>
            <w:tcBorders>
              <w:top w:val="nil"/>
              <w:bottom w:val="single" w:sz="8" w:space="0" w:color="auto"/>
            </w:tcBorders>
            <w:shd w:val="clear" w:color="auto" w:fill="auto"/>
            <w:vAlign w:val="center"/>
            <w:hideMark/>
          </w:tcPr>
          <w:p w14:paraId="5F6F56A5"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3</w:t>
            </w:r>
          </w:p>
        </w:tc>
        <w:tc>
          <w:tcPr>
            <w:tcW w:w="0" w:type="auto"/>
            <w:tcBorders>
              <w:top w:val="nil"/>
              <w:bottom w:val="single" w:sz="8" w:space="0" w:color="auto"/>
            </w:tcBorders>
            <w:shd w:val="clear" w:color="auto" w:fill="auto"/>
            <w:vAlign w:val="center"/>
            <w:hideMark/>
          </w:tcPr>
          <w:p w14:paraId="4D5BD813"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25</w:t>
            </w:r>
          </w:p>
        </w:tc>
        <w:tc>
          <w:tcPr>
            <w:tcW w:w="1094" w:type="dxa"/>
            <w:tcBorders>
              <w:top w:val="nil"/>
              <w:bottom w:val="single" w:sz="8" w:space="0" w:color="auto"/>
            </w:tcBorders>
            <w:shd w:val="clear" w:color="auto" w:fill="auto"/>
            <w:vAlign w:val="center"/>
            <w:hideMark/>
          </w:tcPr>
          <w:p w14:paraId="577D2C77"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0.94 ± 0.11</w:t>
            </w:r>
          </w:p>
        </w:tc>
        <w:tc>
          <w:tcPr>
            <w:tcW w:w="1044" w:type="dxa"/>
            <w:tcBorders>
              <w:top w:val="nil"/>
              <w:bottom w:val="single" w:sz="8" w:space="0" w:color="auto"/>
            </w:tcBorders>
            <w:shd w:val="clear" w:color="auto" w:fill="auto"/>
            <w:vAlign w:val="center"/>
            <w:hideMark/>
          </w:tcPr>
          <w:p w14:paraId="781FA9B8"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0.63 ± .09</w:t>
            </w:r>
          </w:p>
        </w:tc>
        <w:tc>
          <w:tcPr>
            <w:tcW w:w="0" w:type="auto"/>
            <w:tcBorders>
              <w:top w:val="nil"/>
              <w:bottom w:val="single" w:sz="8" w:space="0" w:color="auto"/>
            </w:tcBorders>
            <w:shd w:val="clear" w:color="auto" w:fill="auto"/>
            <w:vAlign w:val="center"/>
            <w:hideMark/>
          </w:tcPr>
          <w:p w14:paraId="71BEE589"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0.30 ± .02</w:t>
            </w:r>
          </w:p>
        </w:tc>
        <w:tc>
          <w:tcPr>
            <w:tcW w:w="0" w:type="auto"/>
            <w:tcBorders>
              <w:top w:val="nil"/>
              <w:bottom w:val="single" w:sz="8" w:space="0" w:color="auto"/>
            </w:tcBorders>
            <w:shd w:val="clear" w:color="auto" w:fill="auto"/>
            <w:vAlign w:val="center"/>
            <w:hideMark/>
          </w:tcPr>
          <w:p w14:paraId="4378B5FA"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87.6 ± 2.1</w:t>
            </w:r>
          </w:p>
        </w:tc>
        <w:tc>
          <w:tcPr>
            <w:tcW w:w="0" w:type="auto"/>
            <w:tcBorders>
              <w:top w:val="nil"/>
              <w:bottom w:val="single" w:sz="8" w:space="0" w:color="auto"/>
            </w:tcBorders>
            <w:shd w:val="clear" w:color="auto" w:fill="auto"/>
            <w:vAlign w:val="center"/>
            <w:hideMark/>
          </w:tcPr>
          <w:p w14:paraId="08E9FF61"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57.8 ± 1.6</w:t>
            </w:r>
          </w:p>
        </w:tc>
        <w:tc>
          <w:tcPr>
            <w:tcW w:w="0" w:type="auto"/>
            <w:tcBorders>
              <w:top w:val="nil"/>
              <w:bottom w:val="single" w:sz="8" w:space="0" w:color="auto"/>
            </w:tcBorders>
            <w:shd w:val="clear" w:color="auto" w:fill="auto"/>
            <w:vAlign w:val="center"/>
            <w:hideMark/>
          </w:tcPr>
          <w:p w14:paraId="13F6F1A0" w14:textId="77777777" w:rsidR="006F743A" w:rsidRPr="00402076" w:rsidRDefault="006F743A" w:rsidP="00402076">
            <w:pPr>
              <w:autoSpaceDE w:val="0"/>
              <w:autoSpaceDN w:val="0"/>
              <w:adjustRightInd w:val="0"/>
              <w:snapToGrid w:val="0"/>
              <w:spacing w:line="240" w:lineRule="auto"/>
              <w:jc w:val="center"/>
              <w:rPr>
                <w:rFonts w:ascii="Palatino Linotype" w:hAnsi="Palatino Linotype" w:cs="Calibri"/>
                <w:sz w:val="18"/>
                <w:szCs w:val="18"/>
                <w:lang w:eastAsia="en-US"/>
              </w:rPr>
            </w:pPr>
            <w:r w:rsidRPr="00402076">
              <w:rPr>
                <w:rFonts w:ascii="Palatino Linotype" w:hAnsi="Palatino Linotype" w:cs="Calibri"/>
                <w:sz w:val="18"/>
                <w:szCs w:val="18"/>
                <w:lang w:eastAsia="en-US"/>
              </w:rPr>
              <w:t>0.34 ± .01</w:t>
            </w:r>
          </w:p>
        </w:tc>
      </w:tr>
    </w:tbl>
    <w:p w14:paraId="2BFE8B1C" w14:textId="0A8F3E93" w:rsidR="007A082B" w:rsidRDefault="007A082B" w:rsidP="007A082B">
      <w:pPr>
        <w:pStyle w:val="MDPI43tablefooter"/>
        <w:ind w:left="425" w:right="425"/>
      </w:pPr>
      <w:r w:rsidRPr="007A082B">
        <w:t>Over-expression of Kif1A or the fly homolog unc104was induced using four different tissue-specific drivers: twist;24B-Gal4 (strong mesoderm-specific driver), 24B-Gal4 and mef2-Gal4 (relatively weaker mesoderm-specific drivers) and GMH5 (cardiac-specific drivers) and indicated cardiac parameters were measured. KD of Kif1A was achieved by crossing flies with the mesoderm-specific driver 24B-Gal4 with flies containing UAS-Kif1A RNAi constructs and in flies heterozygous for deletions that span the Kif1A locus (deficiency lines, Df). Data is shown as Mean ± SEM; significance was determined using One-way ANOVA or unpaired t-tests; *</w:t>
      </w:r>
      <w:r w:rsidRPr="00484496">
        <w:rPr>
          <w:i/>
          <w:iCs/>
        </w:rPr>
        <w:t>p</w:t>
      </w:r>
      <w:r w:rsidRPr="007A082B">
        <w:t xml:space="preserve"> &lt; 0.5, **</w:t>
      </w:r>
      <w:r w:rsidRPr="00484496">
        <w:rPr>
          <w:i/>
          <w:iCs/>
        </w:rPr>
        <w:t>p</w:t>
      </w:r>
      <w:r w:rsidRPr="007A082B">
        <w:t xml:space="preserve"> &lt; 0.01, ***</w:t>
      </w:r>
      <w:r w:rsidRPr="00484496">
        <w:rPr>
          <w:i/>
          <w:iCs/>
        </w:rPr>
        <w:t>p</w:t>
      </w:r>
      <w:r w:rsidRPr="007A082B">
        <w:t xml:space="preserve"> &lt; 0.001.</w:t>
      </w:r>
    </w:p>
    <w:p w14:paraId="6FAE0231" w14:textId="6DC7DFDA" w:rsidR="0024531A" w:rsidRDefault="00B7160E" w:rsidP="00402076">
      <w:pPr>
        <w:pStyle w:val="MDPI52figure"/>
      </w:pPr>
      <w:r>
        <w:pict w14:anchorId="6DC929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5.4pt;height:222pt">
            <v:imagedata r:id="rId7" o:title="2019 Supplemental fig1 new"/>
          </v:shape>
        </w:pict>
      </w:r>
    </w:p>
    <w:p w14:paraId="0197039F" w14:textId="5BFC11C1" w:rsidR="0024531A" w:rsidRDefault="005971DB" w:rsidP="005971DB">
      <w:pPr>
        <w:pStyle w:val="MDPI51figurecaption"/>
      </w:pPr>
      <w:r w:rsidRPr="005971DB">
        <w:rPr>
          <w:b/>
          <w:bCs/>
        </w:rPr>
        <w:lastRenderedPageBreak/>
        <w:t xml:space="preserve">Figure </w:t>
      </w:r>
      <w:r>
        <w:rPr>
          <w:b/>
          <w:bCs/>
        </w:rPr>
        <w:t>S</w:t>
      </w:r>
      <w:r w:rsidRPr="005971DB">
        <w:rPr>
          <w:b/>
          <w:bCs/>
        </w:rPr>
        <w:t>1.</w:t>
      </w:r>
      <w:r w:rsidR="0024531A" w:rsidRPr="005971DB">
        <w:rPr>
          <w:b/>
        </w:rPr>
        <w:t xml:space="preserve"> </w:t>
      </w:r>
      <w:r w:rsidR="0024531A">
        <w:t>(</w:t>
      </w:r>
      <w:r w:rsidR="0024531A" w:rsidRPr="005971DB">
        <w:rPr>
          <w:b/>
          <w:bCs/>
        </w:rPr>
        <w:t>A</w:t>
      </w:r>
      <w:r w:rsidR="0024531A">
        <w:t>) Relative expression of unc-104 (</w:t>
      </w:r>
      <w:r w:rsidR="00E93A42" w:rsidRPr="00E93A42">
        <w:rPr>
          <w:i/>
        </w:rPr>
        <w:t>KIF1A</w:t>
      </w:r>
      <w:r w:rsidR="0024531A">
        <w:t xml:space="preserve"> homologue) in different tissues from 1-week-old adults (normalized to actin expression). Unc-104 expression was enriched 10-fold in the head and 3fold in thorax (compared to whole body), but its wildtype expression was significantly lower in the heart (18% compared to whole body). (</w:t>
      </w:r>
      <w:r w:rsidR="0024531A" w:rsidRPr="00BB5D79">
        <w:rPr>
          <w:b/>
          <w:bCs/>
        </w:rPr>
        <w:t>B</w:t>
      </w:r>
      <w:r w:rsidR="0024531A">
        <w:t>) End Systolic Diameters (ESD) from the same hearts shown in (</w:t>
      </w:r>
      <w:r w:rsidR="0024531A" w:rsidRPr="00BB5D79">
        <w:rPr>
          <w:b/>
          <w:bCs/>
        </w:rPr>
        <w:t>A</w:t>
      </w:r>
      <w:r w:rsidR="0024531A">
        <w:t xml:space="preserve">) are significantly increased compared to controls in hearts where stronger drivers (24B-Gal4 and twist, 24B-Gal4) were used to overexpress </w:t>
      </w:r>
      <w:r w:rsidR="00E93A42" w:rsidRPr="00E93A42">
        <w:rPr>
          <w:i/>
        </w:rPr>
        <w:t>Kif1</w:t>
      </w:r>
      <w:r w:rsidR="0049326F">
        <w:rPr>
          <w:i/>
        </w:rPr>
        <w:t>A</w:t>
      </w:r>
      <w:r w:rsidR="0024531A">
        <w:t>/unc104.</w:t>
      </w:r>
    </w:p>
    <w:p w14:paraId="3C0EAC15" w14:textId="6859D921" w:rsidR="00F73B01" w:rsidRDefault="00B7160E" w:rsidP="00BB5D79">
      <w:pPr>
        <w:pStyle w:val="MDPI52figure"/>
      </w:pPr>
      <w:r>
        <w:pict w14:anchorId="593B93D4">
          <v:shape id="_x0000_i1026" type="#_x0000_t75" style="width:295.8pt;height:222.6pt">
            <v:imagedata r:id="rId8" o:title="2020 Supplemental fig2"/>
          </v:shape>
        </w:pict>
      </w:r>
    </w:p>
    <w:p w14:paraId="19EC6E0F" w14:textId="55AF0C4E" w:rsidR="00F73B01" w:rsidRDefault="007D567E" w:rsidP="00BB5D79">
      <w:pPr>
        <w:pStyle w:val="MDPI51figurecaption"/>
      </w:pPr>
      <w:r>
        <w:rPr>
          <w:b/>
          <w:bCs/>
        </w:rPr>
        <w:t>F</w:t>
      </w:r>
      <w:r w:rsidR="00F73B01" w:rsidRPr="00BB5D79">
        <w:rPr>
          <w:b/>
          <w:bCs/>
        </w:rPr>
        <w:t xml:space="preserve">igure </w:t>
      </w:r>
      <w:r>
        <w:rPr>
          <w:b/>
          <w:bCs/>
        </w:rPr>
        <w:t>S</w:t>
      </w:r>
      <w:r w:rsidR="00F73B01" w:rsidRPr="00BB5D79">
        <w:rPr>
          <w:b/>
          <w:bCs/>
        </w:rPr>
        <w:t xml:space="preserve">2. </w:t>
      </w:r>
      <w:r w:rsidR="00F73B01" w:rsidRPr="00F73B01">
        <w:t>(</w:t>
      </w:r>
      <w:r w:rsidR="00F73B01" w:rsidRPr="007D567E">
        <w:rPr>
          <w:b/>
          <w:bCs/>
        </w:rPr>
        <w:t>A</w:t>
      </w:r>
      <w:r w:rsidR="00F73B01">
        <w:t xml:space="preserve">) Western Blot Analysis confirms </w:t>
      </w:r>
      <w:r w:rsidR="00E93A42" w:rsidRPr="00E93A42">
        <w:rPr>
          <w:i/>
        </w:rPr>
        <w:t>Kif1</w:t>
      </w:r>
      <w:r w:rsidR="0049326F">
        <w:rPr>
          <w:i/>
        </w:rPr>
        <w:t>A</w:t>
      </w:r>
      <w:r w:rsidR="00F73B01">
        <w:t xml:space="preserve"> over-expression (OE). Expression of the myc </w:t>
      </w:r>
      <w:r w:rsidR="00F73B01" w:rsidRPr="00C52AF6">
        <w:t xml:space="preserve">tagged mouse </w:t>
      </w:r>
      <w:r w:rsidR="00E93A42" w:rsidRPr="00C52AF6">
        <w:t>Kif1</w:t>
      </w:r>
      <w:r w:rsidR="0049326F">
        <w:t>A</w:t>
      </w:r>
      <w:r w:rsidR="00F73B01" w:rsidRPr="00C52AF6">
        <w:t xml:space="preserve"> protein</w:t>
      </w:r>
      <w:r w:rsidR="00F73B01">
        <w:t xml:space="preserve"> driven by the GMR-Gla4 was detected with anti-myc antibodies in flies that also had the GMR-Gal4 driver but not in control flies (yw). </w:t>
      </w:r>
      <w:r w:rsidR="00E93A42" w:rsidRPr="00E93A42">
        <w:rPr>
          <w:iCs/>
        </w:rPr>
        <w:t>Kif1</w:t>
      </w:r>
      <w:r w:rsidR="0049326F">
        <w:rPr>
          <w:iCs/>
        </w:rPr>
        <w:t>A</w:t>
      </w:r>
      <w:r w:rsidR="00F73B01" w:rsidRPr="00E93A42">
        <w:rPr>
          <w:iCs/>
        </w:rPr>
        <w:t xml:space="preserve"> protein</w:t>
      </w:r>
      <w:r w:rsidR="00F73B01">
        <w:t xml:space="preserve"> was also detectable in transfected HEK293T cells. (</w:t>
      </w:r>
      <w:r w:rsidR="00F73B01" w:rsidRPr="007D567E">
        <w:rPr>
          <w:b/>
          <w:bCs/>
        </w:rPr>
        <w:t>B</w:t>
      </w:r>
      <w:r w:rsidR="00F73B01">
        <w:t xml:space="preserve">) Myosin heavy chain (MHC) is reduced in </w:t>
      </w:r>
      <w:r w:rsidR="00E93A42" w:rsidRPr="00E93A42">
        <w:rPr>
          <w:i/>
        </w:rPr>
        <w:t>Kif1</w:t>
      </w:r>
      <w:r w:rsidR="0049326F">
        <w:rPr>
          <w:i/>
        </w:rPr>
        <w:t>A</w:t>
      </w:r>
      <w:r w:rsidR="00F73B01">
        <w:t xml:space="preserve"> OE hearts. Hearts were homogenized and proteins separated by SDS PAGE (5 hearts per lane). Proteins were detected with Coomassie Fluor Orange (Thermo Fisher Scientific), showing MHC, which is the most prominent protein in muscle tissue (arrow).</w:t>
      </w:r>
    </w:p>
    <w:p w14:paraId="389BCC9E" w14:textId="77777777" w:rsidR="00EA05DE" w:rsidRDefault="00B7160E" w:rsidP="007D567E">
      <w:pPr>
        <w:pStyle w:val="MDPI52figure"/>
      </w:pPr>
      <w:r>
        <w:lastRenderedPageBreak/>
        <w:pict w14:anchorId="54F8D3A4">
          <v:shape id="_x0000_i1027" type="#_x0000_t75" style="width:308.4pt;height:549.6pt">
            <v:imagedata r:id="rId9" o:title="2020 Supplemental fig3"/>
          </v:shape>
        </w:pict>
      </w:r>
    </w:p>
    <w:p w14:paraId="4C059AD8" w14:textId="318A8D0D" w:rsidR="00F73B01" w:rsidRDefault="00F73B01" w:rsidP="007D567E">
      <w:pPr>
        <w:pStyle w:val="MDPI51figurecaption"/>
      </w:pPr>
      <w:r w:rsidRPr="007D567E">
        <w:rPr>
          <w:b/>
          <w:bCs/>
        </w:rPr>
        <w:t>Figure</w:t>
      </w:r>
      <w:r w:rsidR="006774F2" w:rsidRPr="007D567E">
        <w:rPr>
          <w:b/>
          <w:bCs/>
        </w:rPr>
        <w:t xml:space="preserve"> </w:t>
      </w:r>
      <w:r w:rsidR="007D567E">
        <w:rPr>
          <w:b/>
          <w:bCs/>
        </w:rPr>
        <w:t>S</w:t>
      </w:r>
      <w:r w:rsidR="006774F2" w:rsidRPr="007D567E">
        <w:rPr>
          <w:b/>
          <w:bCs/>
        </w:rPr>
        <w:t>3</w:t>
      </w:r>
      <w:r w:rsidRPr="007D567E">
        <w:rPr>
          <w:b/>
          <w:bCs/>
        </w:rPr>
        <w:t>.</w:t>
      </w:r>
      <w:r w:rsidRPr="007D567E">
        <w:t xml:space="preserve"> </w:t>
      </w:r>
      <w:r w:rsidR="00E93A42" w:rsidRPr="007D567E">
        <w:rPr>
          <w:i/>
        </w:rPr>
        <w:t>Kif1</w:t>
      </w:r>
      <w:r w:rsidR="0049326F" w:rsidRPr="007D567E">
        <w:rPr>
          <w:i/>
        </w:rPr>
        <w:t>A</w:t>
      </w:r>
      <w:r w:rsidRPr="007D567E">
        <w:t xml:space="preserve"> overexpression causes systolic dysfunction </w:t>
      </w:r>
      <w:r>
        <w:t>(</w:t>
      </w:r>
      <w:r w:rsidRPr="007D567E">
        <w:rPr>
          <w:b/>
          <w:bCs/>
        </w:rPr>
        <w:t>A</w:t>
      </w:r>
      <w:r>
        <w:t xml:space="preserve">) End Systolic Diameters (ESD) from the hearts shown in text Figure 2 are significantly increased compared to controls in hearts where stronger drivers (24B-Gal4 and twist, 24B-Gal4) were used to overexpress </w:t>
      </w:r>
      <w:r w:rsidR="00E93A42" w:rsidRPr="00E93A42">
        <w:rPr>
          <w:i/>
        </w:rPr>
        <w:t>Kif1</w:t>
      </w:r>
      <w:r w:rsidR="0049326F">
        <w:rPr>
          <w:i/>
        </w:rPr>
        <w:t>A</w:t>
      </w:r>
      <w:r>
        <w:t>/unc104. (</w:t>
      </w:r>
      <w:r w:rsidRPr="007D567E">
        <w:rPr>
          <w:b/>
          <w:bCs/>
        </w:rPr>
        <w:t>B</w:t>
      </w:r>
      <w:r>
        <w:t xml:space="preserve">) There were minimal effects of </w:t>
      </w:r>
      <w:r w:rsidR="00E93A42" w:rsidRPr="00E93A42">
        <w:rPr>
          <w:i/>
        </w:rPr>
        <w:t>Kif1</w:t>
      </w:r>
      <w:r w:rsidR="0049326F">
        <w:rPr>
          <w:i/>
        </w:rPr>
        <w:t>A</w:t>
      </w:r>
      <w:r>
        <w:t xml:space="preserve"> OE on End Diastolic Diameters (EDD). Because the EDD varied significantly between flies with different genetic backgrounds, significance was determined by unpaired two-tail, t-tests between the tissue-specific driver controls and the corresponding OE flies. A one-way ANOVA was used for unc104 OE data as all lines were in the same genetic background.</w:t>
      </w:r>
    </w:p>
    <w:p w14:paraId="2613CA42" w14:textId="29B8280C" w:rsidR="004519B7" w:rsidRDefault="00B7160E" w:rsidP="0067210F">
      <w:pPr>
        <w:pStyle w:val="MDPI52figure"/>
      </w:pPr>
      <w:r>
        <w:lastRenderedPageBreak/>
        <w:pict w14:anchorId="60FB347A">
          <v:shape id="_x0000_i1028" type="#_x0000_t75" style="width:441.6pt;height:232.2pt">
            <v:imagedata r:id="rId10" o:title="2020 Supplemental fig4 final"/>
          </v:shape>
        </w:pict>
      </w:r>
    </w:p>
    <w:p w14:paraId="083FBC96" w14:textId="052DB661" w:rsidR="004519B7" w:rsidRDefault="0067210F" w:rsidP="0067210F">
      <w:pPr>
        <w:pStyle w:val="MDPI51figurecaption"/>
      </w:pPr>
      <w:r w:rsidRPr="0067210F">
        <w:rPr>
          <w:b/>
          <w:bCs/>
        </w:rPr>
        <w:t xml:space="preserve">Figure </w:t>
      </w:r>
      <w:r>
        <w:rPr>
          <w:b/>
          <w:bCs/>
        </w:rPr>
        <w:t>S</w:t>
      </w:r>
      <w:r w:rsidRPr="0067210F">
        <w:rPr>
          <w:b/>
          <w:bCs/>
        </w:rPr>
        <w:t>4.</w:t>
      </w:r>
      <w:r w:rsidR="004519B7" w:rsidRPr="0067210F">
        <w:rPr>
          <w:b/>
        </w:rPr>
        <w:t xml:space="preserve"> </w:t>
      </w:r>
      <w:r w:rsidR="004519B7" w:rsidRPr="0067210F">
        <w:t>Cardiac primordial cell arrangement is not affected during embryogenesis. (</w:t>
      </w:r>
      <w:r w:rsidR="004519B7" w:rsidRPr="0067210F">
        <w:rPr>
          <w:b/>
          <w:bCs/>
        </w:rPr>
        <w:t>A</w:t>
      </w:r>
      <w:r w:rsidR="004519B7" w:rsidRPr="0067210F">
        <w:t>,</w:t>
      </w:r>
      <w:r w:rsidR="004519B7" w:rsidRPr="0067210F">
        <w:rPr>
          <w:b/>
          <w:bCs/>
        </w:rPr>
        <w:t>D</w:t>
      </w:r>
      <w:r w:rsidR="004519B7" w:rsidRPr="0067210F">
        <w:t>,</w:t>
      </w:r>
      <w:r w:rsidR="004519B7" w:rsidRPr="0067210F">
        <w:rPr>
          <w:b/>
          <w:bCs/>
        </w:rPr>
        <w:t>G</w:t>
      </w:r>
      <w:r w:rsidR="004519B7" w:rsidRPr="0067210F">
        <w:t>) Mef-2 staining (</w:t>
      </w:r>
      <w:r w:rsidR="004519B7" w:rsidRPr="00A16A1C">
        <w:rPr>
          <w:b/>
          <w:bCs/>
        </w:rPr>
        <w:t>B</w:t>
      </w:r>
      <w:r w:rsidR="004519B7" w:rsidRPr="0067210F">
        <w:t>,</w:t>
      </w:r>
      <w:r w:rsidR="004519B7" w:rsidRPr="00A16A1C">
        <w:rPr>
          <w:b/>
          <w:bCs/>
        </w:rPr>
        <w:t>E</w:t>
      </w:r>
      <w:r w:rsidR="004519B7" w:rsidRPr="0067210F">
        <w:t>,</w:t>
      </w:r>
      <w:r w:rsidR="004519B7" w:rsidRPr="00A16A1C">
        <w:rPr>
          <w:b/>
          <w:bCs/>
        </w:rPr>
        <w:t>H</w:t>
      </w:r>
      <w:r w:rsidR="004519B7" w:rsidRPr="0067210F">
        <w:t>) Dlg (disk large) staining, (</w:t>
      </w:r>
      <w:r w:rsidR="004519B7" w:rsidRPr="00A16A1C">
        <w:rPr>
          <w:b/>
          <w:bCs/>
        </w:rPr>
        <w:t>C</w:t>
      </w:r>
      <w:r w:rsidR="004519B7" w:rsidRPr="0067210F">
        <w:t>,</w:t>
      </w:r>
      <w:r w:rsidR="004519B7" w:rsidRPr="00A16A1C">
        <w:rPr>
          <w:b/>
          <w:bCs/>
        </w:rPr>
        <w:t>F</w:t>
      </w:r>
      <w:r w:rsidR="004519B7" w:rsidRPr="0067210F">
        <w:t>,</w:t>
      </w:r>
      <w:r w:rsidR="004519B7" w:rsidRPr="00A16A1C">
        <w:rPr>
          <w:b/>
          <w:bCs/>
        </w:rPr>
        <w:t>I</w:t>
      </w:r>
      <w:r w:rsidR="004519B7" w:rsidRPr="0067210F">
        <w:t>) merged images in stage 18 embryos</w:t>
      </w:r>
      <w:r w:rsidR="004519B7">
        <w:t xml:space="preserve">. Note that the cell polarity marker Dlg in </w:t>
      </w:r>
      <w:r w:rsidR="00E93A42" w:rsidRPr="00E93A42">
        <w:rPr>
          <w:i/>
        </w:rPr>
        <w:t>Kif</w:t>
      </w:r>
      <w:r w:rsidR="0049326F">
        <w:rPr>
          <w:i/>
        </w:rPr>
        <w:t>A</w:t>
      </w:r>
      <w:r w:rsidR="00E93A42" w:rsidRPr="00E93A42">
        <w:rPr>
          <w:i/>
        </w:rPr>
        <w:t>a</w:t>
      </w:r>
      <w:r w:rsidR="004519B7">
        <w:t xml:space="preserve"> over-expression flies (</w:t>
      </w:r>
      <w:r w:rsidR="004519B7" w:rsidRPr="003043A1">
        <w:rPr>
          <w:b/>
          <w:bCs/>
        </w:rPr>
        <w:t>A</w:t>
      </w:r>
      <w:r w:rsidR="003043A1">
        <w:t>–</w:t>
      </w:r>
      <w:r w:rsidR="004519B7" w:rsidRPr="003043A1">
        <w:rPr>
          <w:b/>
          <w:bCs/>
        </w:rPr>
        <w:t>C</w:t>
      </w:r>
      <w:r w:rsidR="004519B7">
        <w:t>: Twist;24B</w:t>
      </w:r>
      <w:r w:rsidR="00A16A1C">
        <w:t xml:space="preserve"> </w:t>
      </w:r>
      <w:r w:rsidR="004519B7">
        <w:t>&gt;</w:t>
      </w:r>
      <w:r w:rsidR="00A16A1C">
        <w:t xml:space="preserve"> </w:t>
      </w:r>
      <w:r w:rsidR="00E93A42" w:rsidRPr="00E93A42">
        <w:rPr>
          <w:i/>
        </w:rPr>
        <w:t>Kif1</w:t>
      </w:r>
      <w:r w:rsidR="0049326F">
        <w:rPr>
          <w:i/>
        </w:rPr>
        <w:t>A</w:t>
      </w:r>
      <w:r w:rsidR="004519B7">
        <w:t>) is localized to the dorsal-lateral sides of the heart. A similar distribution is observed in genetic controls (</w:t>
      </w:r>
      <w:r w:rsidR="004519B7" w:rsidRPr="00A16A1C">
        <w:rPr>
          <w:b/>
          <w:bCs/>
        </w:rPr>
        <w:t>D</w:t>
      </w:r>
      <w:r w:rsidR="00A16A1C">
        <w:t>–</w:t>
      </w:r>
      <w:r w:rsidR="004519B7" w:rsidRPr="00A16A1C">
        <w:rPr>
          <w:b/>
          <w:bCs/>
        </w:rPr>
        <w:t>F</w:t>
      </w:r>
      <w:r w:rsidR="004519B7">
        <w:t xml:space="preserve">: </w:t>
      </w:r>
      <w:r w:rsidR="00E93A42" w:rsidRPr="00E93A42">
        <w:rPr>
          <w:i/>
        </w:rPr>
        <w:t>Kif1</w:t>
      </w:r>
      <w:r w:rsidR="0049326F">
        <w:rPr>
          <w:i/>
        </w:rPr>
        <w:t>A</w:t>
      </w:r>
      <w:r w:rsidR="004519B7">
        <w:t xml:space="preserve"> X yw, and G-I: Twist;24B X yw). (</w:t>
      </w:r>
      <w:r w:rsidR="004519B7" w:rsidRPr="00A16A1C">
        <w:rPr>
          <w:b/>
          <w:bCs/>
        </w:rPr>
        <w:t>J</w:t>
      </w:r>
      <w:r w:rsidR="004519B7">
        <w:t>) Schematic diagram illustrating the normal distribution pattern of Dlg in stage 18 embryos.</w:t>
      </w:r>
    </w:p>
    <w:p w14:paraId="0D070ED7" w14:textId="4472D034" w:rsidR="0081172E" w:rsidRDefault="00B7160E" w:rsidP="00604657">
      <w:pPr>
        <w:pStyle w:val="MDPI52figure"/>
      </w:pPr>
      <w:r>
        <w:pict w14:anchorId="7CB4B18D">
          <v:shape id="_x0000_i1029" type="#_x0000_t75" style="width:283.2pt;height:298.2pt">
            <v:imagedata r:id="rId11" o:title="2019 Supplemental fig5 new"/>
          </v:shape>
        </w:pict>
      </w:r>
    </w:p>
    <w:p w14:paraId="62D104E0" w14:textId="71A86305" w:rsidR="0081172E" w:rsidRDefault="0081172E" w:rsidP="00604657">
      <w:pPr>
        <w:pStyle w:val="MDPI51figurecaption"/>
      </w:pPr>
      <w:r w:rsidRPr="00604657">
        <w:rPr>
          <w:b/>
          <w:bCs/>
        </w:rPr>
        <w:t xml:space="preserve">Figure </w:t>
      </w:r>
      <w:r w:rsidR="00604657">
        <w:rPr>
          <w:b/>
          <w:bCs/>
        </w:rPr>
        <w:t>S</w:t>
      </w:r>
      <w:r w:rsidRPr="00604657">
        <w:rPr>
          <w:b/>
          <w:bCs/>
        </w:rPr>
        <w:t>5.</w:t>
      </w:r>
      <w:r w:rsidRPr="00604657">
        <w:t xml:space="preserve"> Actin cytoskeleton is not affected by over-expression of the individual </w:t>
      </w:r>
      <w:r w:rsidR="00E93A42" w:rsidRPr="00604657">
        <w:rPr>
          <w:i/>
        </w:rPr>
        <w:t>Kif1</w:t>
      </w:r>
      <w:r w:rsidR="00996CA5" w:rsidRPr="00604657">
        <w:rPr>
          <w:i/>
        </w:rPr>
        <w:t>A</w:t>
      </w:r>
      <w:r w:rsidRPr="00604657">
        <w:t xml:space="preserve"> functional domains. </w:t>
      </w:r>
      <w:r>
        <w:t>(</w:t>
      </w:r>
      <w:r w:rsidRPr="00604657">
        <w:rPr>
          <w:b/>
          <w:bCs/>
        </w:rPr>
        <w:t>A</w:t>
      </w:r>
      <w:r>
        <w:t>) C2C12 cells transfected with MD with myc, (</w:t>
      </w:r>
      <w:r w:rsidRPr="00604657">
        <w:rPr>
          <w:b/>
          <w:bCs/>
        </w:rPr>
        <w:t>B</w:t>
      </w:r>
      <w:r>
        <w:t>) FHA tagged with myc, or (</w:t>
      </w:r>
      <w:r w:rsidRPr="00604657">
        <w:rPr>
          <w:b/>
          <w:bCs/>
        </w:rPr>
        <w:t>C</w:t>
      </w:r>
      <w:r>
        <w:t xml:space="preserve">) PH tagged with myc. The constructs used in this study are illustrated in Figure 6. The cells were stained </w:t>
      </w:r>
      <w:r>
        <w:lastRenderedPageBreak/>
        <w:t xml:space="preserve">with phalloidin (left panel </w:t>
      </w:r>
      <w:r w:rsidRPr="007101A1">
        <w:rPr>
          <w:b/>
          <w:bCs/>
        </w:rPr>
        <w:t>A</w:t>
      </w:r>
      <w:r w:rsidR="007101A1">
        <w:t>–</w:t>
      </w:r>
      <w:r w:rsidRPr="007101A1">
        <w:rPr>
          <w:b/>
          <w:bCs/>
        </w:rPr>
        <w:t>C</w:t>
      </w:r>
      <w:r>
        <w:t xml:space="preserve">, red) and anti-myc antibody (middle panel </w:t>
      </w:r>
      <w:r w:rsidRPr="007101A1">
        <w:rPr>
          <w:b/>
          <w:bCs/>
        </w:rPr>
        <w:t>A</w:t>
      </w:r>
      <w:r w:rsidR="007101A1">
        <w:t>′–</w:t>
      </w:r>
      <w:r w:rsidRPr="007101A1">
        <w:rPr>
          <w:b/>
          <w:bCs/>
        </w:rPr>
        <w:t>C</w:t>
      </w:r>
      <w:r w:rsidR="007101A1">
        <w:t>′</w:t>
      </w:r>
      <w:r>
        <w:t xml:space="preserve">, green). Note that </w:t>
      </w:r>
      <w:r w:rsidR="00E93A42" w:rsidRPr="00E93A42">
        <w:rPr>
          <w:i/>
        </w:rPr>
        <w:t>Kif1</w:t>
      </w:r>
      <w:r w:rsidR="00996CA5">
        <w:rPr>
          <w:i/>
        </w:rPr>
        <w:t>A</w:t>
      </w:r>
      <w:r>
        <w:t xml:space="preserve"> MD is localized in the nucleus (</w:t>
      </w:r>
      <w:r w:rsidRPr="007101A1">
        <w:rPr>
          <w:b/>
          <w:bCs/>
        </w:rPr>
        <w:t>A</w:t>
      </w:r>
      <w:r w:rsidR="007101A1">
        <w:t>′</w:t>
      </w:r>
      <w:r>
        <w:t>).</w:t>
      </w:r>
    </w:p>
    <w:p w14:paraId="455EFF0D" w14:textId="77777777" w:rsidR="0081172E" w:rsidRDefault="00B7160E" w:rsidP="002441FB">
      <w:pPr>
        <w:pStyle w:val="MDPI52figure"/>
      </w:pPr>
      <w:r>
        <w:pict w14:anchorId="3B0C75FE">
          <v:shape id="_x0000_i1030" type="#_x0000_t75" style="width:346.2pt;height:231pt">
            <v:imagedata r:id="rId12" o:title="2019 Supplemental fig6"/>
          </v:shape>
        </w:pict>
      </w:r>
    </w:p>
    <w:p w14:paraId="686B746E" w14:textId="3FA46AF0" w:rsidR="0081172E" w:rsidRDefault="00553D74" w:rsidP="00553D74">
      <w:pPr>
        <w:pStyle w:val="MDPI51figurecaption"/>
      </w:pPr>
      <w:r w:rsidRPr="00553D74">
        <w:rPr>
          <w:b/>
          <w:bCs/>
        </w:rPr>
        <w:t xml:space="preserve">Figure </w:t>
      </w:r>
      <w:r>
        <w:rPr>
          <w:b/>
          <w:bCs/>
        </w:rPr>
        <w:t>S</w:t>
      </w:r>
      <w:r w:rsidRPr="00553D74">
        <w:rPr>
          <w:b/>
          <w:bCs/>
        </w:rPr>
        <w:t>6.</w:t>
      </w:r>
      <w:r w:rsidR="0081172E" w:rsidRPr="00553D74">
        <w:rPr>
          <w:b/>
        </w:rPr>
        <w:t xml:space="preserve"> </w:t>
      </w:r>
      <w:r w:rsidR="0081172E" w:rsidRPr="00553D74">
        <w:t xml:space="preserve">Microtubule structure is unaffected by </w:t>
      </w:r>
      <w:r w:rsidR="00E93A42" w:rsidRPr="00553D74">
        <w:rPr>
          <w:i/>
        </w:rPr>
        <w:t>Kif1</w:t>
      </w:r>
      <w:r w:rsidR="00996CA5" w:rsidRPr="00553D74">
        <w:rPr>
          <w:i/>
        </w:rPr>
        <w:t>A</w:t>
      </w:r>
      <w:r w:rsidR="0081172E" w:rsidRPr="00553D74">
        <w:t xml:space="preserve"> overexpression. (</w:t>
      </w:r>
      <w:r w:rsidR="0081172E" w:rsidRPr="00553D74">
        <w:rPr>
          <w:b/>
          <w:bCs/>
        </w:rPr>
        <w:t>A</w:t>
      </w:r>
      <w:r w:rsidR="0081172E">
        <w:t xml:space="preserve">) </w:t>
      </w:r>
      <w:r w:rsidR="00E93A42" w:rsidRPr="00E93A42">
        <w:rPr>
          <w:i/>
        </w:rPr>
        <w:t>Kif1</w:t>
      </w:r>
      <w:r w:rsidR="00996CA5">
        <w:rPr>
          <w:i/>
        </w:rPr>
        <w:t>A</w:t>
      </w:r>
      <w:r w:rsidR="0081172E">
        <w:t xml:space="preserve"> over-expressing C2C12 cells showed no morphological changes in microtubules compared to (</w:t>
      </w:r>
      <w:r w:rsidR="0081172E" w:rsidRPr="00553D74">
        <w:rPr>
          <w:b/>
          <w:bCs/>
        </w:rPr>
        <w:t>B</w:t>
      </w:r>
      <w:r w:rsidR="0081172E">
        <w:t xml:space="preserve">) control cells overexpressing GFP. Microtubules stained with </w:t>
      </w:r>
      <w:r w:rsidR="006F743A">
        <w:t>anti</w:t>
      </w:r>
      <w:r w:rsidR="0081172E">
        <w:t xml:space="preserve">tubulin (Abcam). These results suggest that </w:t>
      </w:r>
      <w:r w:rsidR="00E93A42" w:rsidRPr="00E93A42">
        <w:rPr>
          <w:i/>
        </w:rPr>
        <w:t>Kif1</w:t>
      </w:r>
      <w:r w:rsidR="00996CA5">
        <w:rPr>
          <w:i/>
        </w:rPr>
        <w:t>A</w:t>
      </w:r>
      <w:r w:rsidR="0081172E">
        <w:t xml:space="preserve"> pathogenesis is primarily due to its effect on actin organization.</w:t>
      </w:r>
    </w:p>
    <w:p w14:paraId="02C9C1FE" w14:textId="77777777" w:rsidR="00EE61FE" w:rsidRDefault="00B7160E" w:rsidP="00553D74">
      <w:pPr>
        <w:pStyle w:val="MDPI52figure"/>
      </w:pPr>
      <w:r>
        <w:pict w14:anchorId="68177035">
          <v:shape id="_x0000_i1031" type="#_x0000_t75" style="width:382.2pt;height:189pt">
            <v:imagedata r:id="rId13" o:title="2019 Supplemental fig 7 new"/>
          </v:shape>
        </w:pict>
      </w:r>
    </w:p>
    <w:p w14:paraId="25A357C2" w14:textId="2CFA7250" w:rsidR="00EE61FE" w:rsidRPr="00EE61FE" w:rsidRDefault="00EE61FE" w:rsidP="00553D74">
      <w:pPr>
        <w:pStyle w:val="MDPI51figurecaption"/>
        <w:rPr>
          <w:b/>
          <w:bCs/>
        </w:rPr>
      </w:pPr>
      <w:r w:rsidRPr="00553D74">
        <w:rPr>
          <w:b/>
          <w:bCs/>
        </w:rPr>
        <w:t xml:space="preserve">Figure </w:t>
      </w:r>
      <w:r w:rsidR="00553D74">
        <w:rPr>
          <w:b/>
          <w:bCs/>
        </w:rPr>
        <w:t>S</w:t>
      </w:r>
      <w:r w:rsidRPr="00553D74">
        <w:rPr>
          <w:b/>
          <w:bCs/>
        </w:rPr>
        <w:t xml:space="preserve">7. </w:t>
      </w:r>
      <w:r w:rsidR="00E93A42" w:rsidRPr="00553D74">
        <w:rPr>
          <w:iCs/>
        </w:rPr>
        <w:t>Kif1</w:t>
      </w:r>
      <w:r w:rsidR="00996CA5" w:rsidRPr="00553D74">
        <w:rPr>
          <w:iCs/>
        </w:rPr>
        <w:t>A</w:t>
      </w:r>
      <w:r w:rsidRPr="00553D74">
        <w:rPr>
          <w:iCs/>
        </w:rPr>
        <w:t xml:space="preserve"> </w:t>
      </w:r>
      <w:r w:rsidRPr="00553D74">
        <w:t>physically associates with G-actin in myocytes.</w:t>
      </w:r>
      <w:r w:rsidRPr="00EE61FE">
        <w:rPr>
          <w:b/>
          <w:bCs/>
        </w:rPr>
        <w:t xml:space="preserve"> </w:t>
      </w:r>
      <w:r>
        <w:t>The inputs for text figure 5H. (</w:t>
      </w:r>
      <w:r w:rsidRPr="00553D74">
        <w:rPr>
          <w:b/>
          <w:bCs/>
        </w:rPr>
        <w:t>A</w:t>
      </w:r>
      <w:r>
        <w:t xml:space="preserve">) Lysates from co-transfected HEK293 cells with Actin-GFP and full length or truncated </w:t>
      </w:r>
      <w:r w:rsidR="00E93A42" w:rsidRPr="00E93A42">
        <w:rPr>
          <w:i/>
        </w:rPr>
        <w:t>Kif1</w:t>
      </w:r>
      <w:r w:rsidR="00996CA5">
        <w:rPr>
          <w:i/>
        </w:rPr>
        <w:t>A</w:t>
      </w:r>
      <w:r>
        <w:t xml:space="preserve"> were detected by anti-GFP antibody to show that all samples were equally expressed actin-GFP. (</w:t>
      </w:r>
      <w:r w:rsidRPr="003025D9">
        <w:rPr>
          <w:b/>
          <w:bCs/>
        </w:rPr>
        <w:t>B</w:t>
      </w:r>
      <w:r>
        <w:t xml:space="preserve">) The same lysates were detected by anti-myc antibody to show full length, </w:t>
      </w:r>
      <w:r w:rsidRPr="00EE61FE">
        <w:rPr>
          <w:rFonts w:ascii="Symbol" w:hAnsi="Symbol"/>
        </w:rPr>
        <w:t></w:t>
      </w:r>
      <w:r>
        <w:t xml:space="preserve"> PH, FDH and PH proteins were all expressed at similar levels.</w:t>
      </w:r>
    </w:p>
    <w:p w14:paraId="2F8515C3" w14:textId="77777777" w:rsidR="00F73B01" w:rsidRDefault="00B7160E" w:rsidP="003025D9">
      <w:pPr>
        <w:pStyle w:val="MDPI52figure"/>
      </w:pPr>
      <w:r>
        <w:lastRenderedPageBreak/>
        <w:pict w14:anchorId="20A33036">
          <v:shape id="_x0000_i1032" type="#_x0000_t75" style="width:298.8pt;height:350.4pt">
            <v:imagedata r:id="rId14" o:title="2019 Supplemental fig7"/>
          </v:shape>
        </w:pict>
      </w:r>
    </w:p>
    <w:p w14:paraId="1FA0AB4A" w14:textId="2901B0EA" w:rsidR="00913019" w:rsidRDefault="00913019" w:rsidP="003025D9">
      <w:pPr>
        <w:pStyle w:val="MDPI51figurecaption"/>
      </w:pPr>
      <w:r w:rsidRPr="003025D9">
        <w:rPr>
          <w:b/>
          <w:bCs/>
        </w:rPr>
        <w:t xml:space="preserve">Figure </w:t>
      </w:r>
      <w:r w:rsidR="003025D9">
        <w:rPr>
          <w:b/>
          <w:bCs/>
        </w:rPr>
        <w:t>S</w:t>
      </w:r>
      <w:r w:rsidR="00EE61FE" w:rsidRPr="003025D9">
        <w:rPr>
          <w:b/>
          <w:bCs/>
        </w:rPr>
        <w:t>8</w:t>
      </w:r>
      <w:r w:rsidRPr="003025D9">
        <w:rPr>
          <w:b/>
          <w:bCs/>
        </w:rPr>
        <w:t xml:space="preserve">. </w:t>
      </w:r>
      <w:r w:rsidRPr="003025D9">
        <w:t xml:space="preserve">Quantification of </w:t>
      </w:r>
      <w:r w:rsidR="00B71B03" w:rsidRPr="003025D9">
        <w:rPr>
          <w:i/>
        </w:rPr>
        <w:t>Kif1A</w:t>
      </w:r>
      <w:r w:rsidRPr="003025D9">
        <w:t xml:space="preserve"> transfected C2C12 induced myocytes.</w:t>
      </w:r>
      <w:r w:rsidRPr="00913019">
        <w:t xml:space="preserve"> Micrographs of stained induced myocytes (see Fig</w:t>
      </w:r>
      <w:r w:rsidR="003025D9">
        <w:t>ure</w:t>
      </w:r>
      <w:r w:rsidRPr="00913019">
        <w:t xml:space="preserve"> 7) were processed with the Trainable Weka Segmentation plugin in ImageJ to identify myocytes and nuclei (red). (</w:t>
      </w:r>
      <w:r w:rsidRPr="003025D9">
        <w:rPr>
          <w:b/>
          <w:bCs/>
        </w:rPr>
        <w:t>A</w:t>
      </w:r>
      <w:r w:rsidRPr="00913019">
        <w:t>) Myocytes formed from Ac-GFP transfected C2C12 cells. (</w:t>
      </w:r>
      <w:r w:rsidRPr="003025D9">
        <w:rPr>
          <w:b/>
          <w:bCs/>
        </w:rPr>
        <w:t>B</w:t>
      </w:r>
      <w:r w:rsidRPr="00913019">
        <w:t>) DAPI stained nuclei from the same dish as in (</w:t>
      </w:r>
      <w:r w:rsidRPr="003025D9">
        <w:rPr>
          <w:b/>
          <w:bCs/>
        </w:rPr>
        <w:t>A</w:t>
      </w:r>
      <w:r w:rsidRPr="00913019">
        <w:t>). (</w:t>
      </w:r>
      <w:r w:rsidRPr="003025D9">
        <w:rPr>
          <w:b/>
          <w:bCs/>
        </w:rPr>
        <w:t>C</w:t>
      </w:r>
      <w:r w:rsidRPr="00913019">
        <w:t xml:space="preserve">) Myocytes formed from </w:t>
      </w:r>
      <w:r w:rsidR="00B71B03" w:rsidRPr="00B71B03">
        <w:rPr>
          <w:i/>
        </w:rPr>
        <w:t>Kif1A</w:t>
      </w:r>
      <w:r w:rsidRPr="00913019">
        <w:t>-myc transfected C2C12 cells. (</w:t>
      </w:r>
      <w:r w:rsidRPr="003025D9">
        <w:rPr>
          <w:b/>
          <w:bCs/>
        </w:rPr>
        <w:t>D</w:t>
      </w:r>
      <w:r w:rsidRPr="00913019">
        <w:t>) DAPI stained nuclei from the same dish as in (</w:t>
      </w:r>
      <w:r w:rsidRPr="003025D9">
        <w:rPr>
          <w:b/>
          <w:bCs/>
        </w:rPr>
        <w:t>C</w:t>
      </w:r>
      <w:r w:rsidRPr="00913019">
        <w:t>). (</w:t>
      </w:r>
      <w:r w:rsidRPr="003025D9">
        <w:rPr>
          <w:b/>
          <w:bCs/>
        </w:rPr>
        <w:t>E</w:t>
      </w:r>
      <w:r w:rsidRPr="00913019">
        <w:t xml:space="preserve">) Summary table showing the total area of transfected cells and the number of nuclei associated with the transfected cells. *Images from these cell transfections are shown in </w:t>
      </w:r>
      <w:r w:rsidRPr="003025D9">
        <w:rPr>
          <w:b/>
          <w:bCs/>
        </w:rPr>
        <w:t>A</w:t>
      </w:r>
      <w:r w:rsidR="003025D9">
        <w:t>–</w:t>
      </w:r>
      <w:r w:rsidRPr="003025D9">
        <w:rPr>
          <w:b/>
          <w:bCs/>
        </w:rPr>
        <w:t>D</w:t>
      </w:r>
      <w:r w:rsidRPr="00913019">
        <w:t>.</w:t>
      </w:r>
    </w:p>
    <w:p w14:paraId="13EE69A9" w14:textId="6FEFAADC" w:rsidR="00C2158A" w:rsidRPr="00C2158A" w:rsidRDefault="00C2158A" w:rsidP="00C2158A">
      <w:pPr>
        <w:pStyle w:val="MDPI22heading2"/>
        <w:rPr>
          <w:b/>
          <w:bCs/>
          <w:i w:val="0"/>
          <w:iCs/>
        </w:rPr>
      </w:pPr>
      <w:r w:rsidRPr="00C2158A">
        <w:rPr>
          <w:b/>
          <w:bCs/>
          <w:i w:val="0"/>
          <w:iCs/>
        </w:rPr>
        <w:t xml:space="preserve">Movie </w:t>
      </w:r>
      <w:r w:rsidR="00865497">
        <w:rPr>
          <w:b/>
          <w:bCs/>
          <w:i w:val="0"/>
          <w:iCs/>
        </w:rPr>
        <w:t>S</w:t>
      </w:r>
      <w:r w:rsidRPr="00C2158A">
        <w:rPr>
          <w:b/>
          <w:bCs/>
          <w:i w:val="0"/>
          <w:iCs/>
        </w:rPr>
        <w:t>1</w:t>
      </w:r>
      <w:r w:rsidR="00865497">
        <w:rPr>
          <w:b/>
          <w:bCs/>
          <w:i w:val="0"/>
          <w:iCs/>
        </w:rPr>
        <w:t>–</w:t>
      </w:r>
      <w:r w:rsidRPr="00C2158A">
        <w:rPr>
          <w:b/>
          <w:bCs/>
          <w:i w:val="0"/>
          <w:iCs/>
        </w:rPr>
        <w:t>High-speed movies of in situ Drosophila hearts.</w:t>
      </w:r>
    </w:p>
    <w:p w14:paraId="3C58334A" w14:textId="63BAA025" w:rsidR="00C2158A" w:rsidRPr="00C2158A" w:rsidRDefault="00C2158A" w:rsidP="00865497">
      <w:pPr>
        <w:pStyle w:val="MDPI51figurecaption"/>
        <w:rPr>
          <w:i/>
        </w:rPr>
      </w:pPr>
      <w:r w:rsidRPr="00865497">
        <w:rPr>
          <w:b/>
          <w:bCs/>
        </w:rPr>
        <w:t>Wt heart:</w:t>
      </w:r>
      <w:r w:rsidRPr="00865497">
        <w:rPr>
          <w:b/>
        </w:rPr>
        <w:t xml:space="preserve"> </w:t>
      </w:r>
      <w:r w:rsidRPr="00865497">
        <w:rPr>
          <w:bCs/>
        </w:rPr>
        <w:t>The top movie shows a heart from a wildtype fly that is contracting rhythmically.</w:t>
      </w:r>
      <w:r w:rsidRPr="00865497">
        <w:rPr>
          <w:b/>
        </w:rPr>
        <w:t xml:space="preserve"> </w:t>
      </w:r>
      <w:r w:rsidRPr="00C2158A">
        <w:t>(The red dots identify the pixels used by the SOHA algorithms to quantify movement and also highlight the heart edges.) The locations of ostia (inflow tracts) and positions of the internal valve between chamber 2 &amp; 3 are indicated in all movies. Note the absence of valve structures separating chambers 2 and 3 in the bottom 2 movies.</w:t>
      </w:r>
    </w:p>
    <w:p w14:paraId="76791181" w14:textId="4E259593" w:rsidR="00C2158A" w:rsidRDefault="00C2158A" w:rsidP="00865497">
      <w:pPr>
        <w:pStyle w:val="MDPI51figurecaption"/>
        <w:rPr>
          <w:i/>
        </w:rPr>
      </w:pPr>
      <w:r w:rsidRPr="00865497">
        <w:rPr>
          <w:b/>
          <w:bCs/>
        </w:rPr>
        <w:t>Kif1A OE hearts:</w:t>
      </w:r>
      <w:r w:rsidRPr="00865497">
        <w:rPr>
          <w:b/>
        </w:rPr>
        <w:t xml:space="preserve"> </w:t>
      </w:r>
      <w:r w:rsidRPr="00865497">
        <w:rPr>
          <w:bCs/>
        </w:rPr>
        <w:t>The bottom three movies are from flies overexpressing Kif1A in all mesoderm including the heart myocardial cells (24B-gal4</w:t>
      </w:r>
      <w:r w:rsidR="00865497">
        <w:rPr>
          <w:bCs/>
        </w:rPr>
        <w:t xml:space="preserve"> </w:t>
      </w:r>
      <w:r w:rsidRPr="00865497">
        <w:rPr>
          <w:bCs/>
        </w:rPr>
        <w:t>&gt;</w:t>
      </w:r>
      <w:r w:rsidR="00865497">
        <w:rPr>
          <w:bCs/>
        </w:rPr>
        <w:t xml:space="preserve"> </w:t>
      </w:r>
      <w:r w:rsidRPr="00865497">
        <w:rPr>
          <w:bCs/>
        </w:rPr>
        <w:t>UAS-Kif1A). The</w:t>
      </w:r>
      <w:r w:rsidRPr="00C2158A">
        <w:t xml:space="preserve"> second movie shows heart valve dysplasia with dysplastic-appearing valve structures that do not coapt normally. The third movie shows a more extreme example. In the bottom movie there are no visible valve structures and the heart does not contract at the location where those structures are normally found.</w:t>
      </w:r>
    </w:p>
    <w:sectPr w:rsidR="00C2158A" w:rsidSect="0060168B">
      <w:headerReference w:type="even" r:id="rId15"/>
      <w:headerReference w:type="default" r:id="rId16"/>
      <w:footerReference w:type="default" r:id="rId17"/>
      <w:headerReference w:type="first" r:id="rId18"/>
      <w:footerReference w:type="first" r:id="rId19"/>
      <w:pgSz w:w="11906" w:h="16838" w:code="9"/>
      <w:pgMar w:top="1417" w:right="1531" w:bottom="1077" w:left="1531" w:header="1020" w:footer="850" w:gutter="0"/>
      <w:lnNumType w:countBy="1" w:restart="continuous"/>
      <w:pgNumType w:start="1"/>
      <w:cols w:space="425"/>
      <w:titlePg/>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4FBFE82" w14:textId="77777777" w:rsidR="00BE2656" w:rsidRDefault="00BE2656">
      <w:pPr>
        <w:spacing w:line="240" w:lineRule="auto"/>
      </w:pPr>
      <w:r>
        <w:separator/>
      </w:r>
    </w:p>
  </w:endnote>
  <w:endnote w:type="continuationSeparator" w:id="0">
    <w:p w14:paraId="79878470" w14:textId="77777777" w:rsidR="00BE2656" w:rsidRDefault="00BE265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AAEC17" w14:textId="77777777" w:rsidR="00E93A42" w:rsidRPr="000B33A9" w:rsidRDefault="00E93A42" w:rsidP="00B2752E">
    <w:pPr>
      <w:pStyle w:val="Footer"/>
      <w:spacing w:line="240" w:lineRule="auto"/>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F9384E0" w14:textId="77777777" w:rsidR="00E93A42" w:rsidRPr="00372FCD" w:rsidRDefault="00E93A42" w:rsidP="007262F2">
    <w:pPr>
      <w:tabs>
        <w:tab w:val="right" w:pos="8844"/>
      </w:tabs>
      <w:adjustRightInd w:val="0"/>
      <w:snapToGrid w:val="0"/>
      <w:spacing w:before="120" w:line="240" w:lineRule="auto"/>
      <w:rPr>
        <w:rFonts w:ascii="Palatino Linotype" w:hAnsi="Palatino Linotype"/>
        <w:sz w:val="16"/>
        <w:szCs w:val="16"/>
        <w:lang w:val="fr-CH"/>
      </w:rPr>
    </w:pPr>
    <w:r w:rsidRPr="009E7895">
      <w:rPr>
        <w:rFonts w:ascii="Palatino Linotype" w:hAnsi="Palatino Linotype"/>
        <w:i/>
        <w:sz w:val="16"/>
        <w:szCs w:val="16"/>
      </w:rPr>
      <w:t xml:space="preserve">J. Cardiovasc. Dev. Dis. </w:t>
    </w:r>
    <w:r w:rsidRPr="00C12857">
      <w:rPr>
        <w:rFonts w:ascii="Palatino Linotype" w:hAnsi="Palatino Linotype"/>
        <w:b/>
        <w:bCs/>
        <w:iCs/>
        <w:sz w:val="16"/>
        <w:szCs w:val="16"/>
      </w:rPr>
      <w:t>20</w:t>
    </w:r>
    <w:r>
      <w:rPr>
        <w:rFonts w:ascii="Palatino Linotype" w:hAnsi="Palatino Linotype"/>
        <w:b/>
        <w:bCs/>
        <w:iCs/>
        <w:sz w:val="16"/>
        <w:szCs w:val="16"/>
      </w:rPr>
      <w:t>20</w:t>
    </w:r>
    <w:r w:rsidRPr="00C12857">
      <w:rPr>
        <w:rFonts w:ascii="Palatino Linotype" w:hAnsi="Palatino Linotype"/>
        <w:bCs/>
        <w:iCs/>
        <w:sz w:val="16"/>
        <w:szCs w:val="16"/>
      </w:rPr>
      <w:t xml:space="preserve">, </w:t>
    </w:r>
    <w:r>
      <w:rPr>
        <w:rFonts w:ascii="Palatino Linotype" w:hAnsi="Palatino Linotype"/>
        <w:bCs/>
        <w:i/>
        <w:iCs/>
        <w:sz w:val="16"/>
        <w:szCs w:val="16"/>
      </w:rPr>
      <w:t>7</w:t>
    </w:r>
    <w:r w:rsidRPr="00C12857">
      <w:rPr>
        <w:rFonts w:ascii="Palatino Linotype" w:hAnsi="Palatino Linotype"/>
        <w:bCs/>
        <w:iCs/>
        <w:sz w:val="16"/>
        <w:szCs w:val="16"/>
      </w:rPr>
      <w:t xml:space="preserve">, </w:t>
    </w:r>
    <w:r>
      <w:rPr>
        <w:rFonts w:ascii="Palatino Linotype" w:hAnsi="Palatino Linotype"/>
        <w:bCs/>
        <w:iCs/>
        <w:sz w:val="16"/>
        <w:szCs w:val="16"/>
      </w:rPr>
      <w:t>x; doi: FOR PEER REVIEW</w:t>
    </w:r>
    <w:r w:rsidRPr="00372FCD">
      <w:rPr>
        <w:rFonts w:ascii="Palatino Linotype" w:hAnsi="Palatino Linotype"/>
        <w:sz w:val="16"/>
        <w:szCs w:val="16"/>
        <w:lang w:val="fr-CH"/>
      </w:rPr>
      <w:tab/>
      <w:t>www.mdpi.com/journal/</w:t>
    </w:r>
    <w:r w:rsidRPr="00A06143">
      <w:rPr>
        <w:rFonts w:ascii="Palatino Linotype" w:hAnsi="Palatino Linotype"/>
        <w:color w:val="auto"/>
        <w:sz w:val="16"/>
        <w:szCs w:val="16"/>
      </w:rPr>
      <w:t>j</w:t>
    </w:r>
    <w:r>
      <w:rPr>
        <w:rFonts w:ascii="Palatino Linotype" w:hAnsi="Palatino Linotype"/>
        <w:sz w:val="16"/>
        <w:szCs w:val="16"/>
      </w:rPr>
      <w:t>cdd</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6A4C443" w14:textId="77777777" w:rsidR="00BE2656" w:rsidRDefault="00BE2656">
      <w:pPr>
        <w:spacing w:line="240" w:lineRule="auto"/>
      </w:pPr>
      <w:r>
        <w:separator/>
      </w:r>
    </w:p>
  </w:footnote>
  <w:footnote w:type="continuationSeparator" w:id="0">
    <w:p w14:paraId="54679F2E" w14:textId="77777777" w:rsidR="00BE2656" w:rsidRDefault="00BE2656">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E92FBA9" w14:textId="77777777" w:rsidR="00E93A42" w:rsidRDefault="00E93A42" w:rsidP="00B2752E">
    <w:pPr>
      <w:pStyle w:val="Header"/>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0129089" w14:textId="77777777" w:rsidR="00E93A42" w:rsidRPr="00D06579" w:rsidRDefault="00E93A42" w:rsidP="007262F2">
    <w:pPr>
      <w:tabs>
        <w:tab w:val="right" w:pos="8844"/>
      </w:tabs>
      <w:adjustRightInd w:val="0"/>
      <w:snapToGrid w:val="0"/>
      <w:spacing w:after="240" w:line="240" w:lineRule="auto"/>
      <w:rPr>
        <w:rFonts w:ascii="Palatino Linotype" w:hAnsi="Palatino Linotype"/>
        <w:sz w:val="16"/>
      </w:rPr>
    </w:pPr>
    <w:r>
      <w:rPr>
        <w:rFonts w:ascii="Palatino Linotype" w:hAnsi="Palatino Linotype"/>
        <w:i/>
        <w:sz w:val="16"/>
      </w:rPr>
      <w:t xml:space="preserve">J. Cardiovasc. Dev. Dis. </w:t>
    </w:r>
    <w:r w:rsidRPr="00C12857">
      <w:rPr>
        <w:rFonts w:ascii="Palatino Linotype" w:hAnsi="Palatino Linotype"/>
        <w:b/>
        <w:sz w:val="16"/>
      </w:rPr>
      <w:t>20</w:t>
    </w:r>
    <w:r>
      <w:rPr>
        <w:rFonts w:ascii="Palatino Linotype" w:hAnsi="Palatino Linotype"/>
        <w:b/>
        <w:sz w:val="16"/>
      </w:rPr>
      <w:t>20</w:t>
    </w:r>
    <w:r w:rsidRPr="00C12857">
      <w:rPr>
        <w:rFonts w:ascii="Palatino Linotype" w:hAnsi="Palatino Linotype"/>
        <w:sz w:val="16"/>
      </w:rPr>
      <w:t xml:space="preserve">, </w:t>
    </w:r>
    <w:r>
      <w:rPr>
        <w:rFonts w:ascii="Palatino Linotype" w:hAnsi="Palatino Linotype"/>
        <w:i/>
        <w:sz w:val="16"/>
      </w:rPr>
      <w:t>7</w:t>
    </w:r>
    <w:r>
      <w:rPr>
        <w:rFonts w:ascii="Palatino Linotype" w:hAnsi="Palatino Linotype"/>
        <w:sz w:val="16"/>
      </w:rPr>
      <w:t>, x FOR PEER REVIEW</w:t>
    </w:r>
    <w:r>
      <w:rPr>
        <w:rFonts w:ascii="Palatino Linotype" w:hAnsi="Palatino Linotype"/>
        <w:sz w:val="16"/>
      </w:rPr>
      <w:tab/>
    </w:r>
    <w:r>
      <w:rPr>
        <w:rFonts w:ascii="Palatino Linotype" w:hAnsi="Palatino Linotype"/>
        <w:sz w:val="16"/>
      </w:rPr>
      <w:fldChar w:fldCharType="begin"/>
    </w:r>
    <w:r>
      <w:rPr>
        <w:rFonts w:ascii="Palatino Linotype" w:hAnsi="Palatino Linotype"/>
        <w:sz w:val="16"/>
      </w:rPr>
      <w:instrText xml:space="preserve"> PAGE   \* MERGEFORMAT </w:instrText>
    </w:r>
    <w:r>
      <w:rPr>
        <w:rFonts w:ascii="Palatino Linotype" w:hAnsi="Palatino Linotype"/>
        <w:sz w:val="16"/>
      </w:rPr>
      <w:fldChar w:fldCharType="separate"/>
    </w:r>
    <w:r>
      <w:rPr>
        <w:rFonts w:ascii="Palatino Linotype" w:hAnsi="Palatino Linotype"/>
        <w:noProof/>
        <w:sz w:val="16"/>
      </w:rPr>
      <w:t>3</w:t>
    </w:r>
    <w:r>
      <w:rPr>
        <w:rFonts w:ascii="Palatino Linotype" w:hAnsi="Palatino Linotype"/>
        <w:sz w:val="16"/>
      </w:rPr>
      <w:fldChar w:fldCharType="end"/>
    </w:r>
    <w:r>
      <w:rPr>
        <w:rFonts w:ascii="Palatino Linotype" w:hAnsi="Palatino Linotype"/>
        <w:sz w:val="16"/>
      </w:rPr>
      <w:t xml:space="preserve"> of </w:t>
    </w:r>
    <w:r>
      <w:rPr>
        <w:rFonts w:ascii="Palatino Linotype" w:hAnsi="Palatino Linotype"/>
        <w:sz w:val="16"/>
      </w:rPr>
      <w:fldChar w:fldCharType="begin"/>
    </w:r>
    <w:r>
      <w:rPr>
        <w:rFonts w:ascii="Palatino Linotype" w:hAnsi="Palatino Linotype"/>
        <w:sz w:val="16"/>
      </w:rPr>
      <w:instrText xml:space="preserve"> NUMPAGES   \* MERGEFORMAT </w:instrText>
    </w:r>
    <w:r>
      <w:rPr>
        <w:rFonts w:ascii="Palatino Linotype" w:hAnsi="Palatino Linotype"/>
        <w:sz w:val="16"/>
      </w:rPr>
      <w:fldChar w:fldCharType="separate"/>
    </w:r>
    <w:r>
      <w:rPr>
        <w:rFonts w:ascii="Palatino Linotype" w:hAnsi="Palatino Linotype"/>
        <w:noProof/>
        <w:sz w:val="16"/>
      </w:rPr>
      <w:t>4</w:t>
    </w:r>
    <w:r>
      <w:rPr>
        <w:rFonts w:ascii="Palatino Linotype" w:hAnsi="Palatino Linotype"/>
        <w:sz w:val="16"/>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9D2D7D" w14:textId="77777777" w:rsidR="00E93A42" w:rsidRDefault="00BE2656" w:rsidP="00B2752E">
    <w:pPr>
      <w:pStyle w:val="MDPIheaderjournallogo"/>
    </w:pPr>
    <w:r>
      <w:rPr>
        <w:noProof/>
        <w:lang w:eastAsia="zh-CN"/>
      </w:rPr>
      <w:pict w14:anchorId="3FEED1B0">
        <v:shapetype id="_x0000_t202" coordsize="21600,21600" o:spt="202" path="m,l,21600r21600,l21600,xe">
          <v:stroke joinstyle="miter"/>
          <v:path gradientshapeok="t" o:connecttype="rect"/>
        </v:shapetype>
        <v:shape id="Text Box 2" o:spid="_x0000_s2049" type="#_x0000_t202" style="position:absolute;margin-left:474.8pt;margin-top:51pt;width:42.55pt;height:55.85pt;z-index:-1;visibility:visible;mso-wrap-style:none;mso-wrap-distance-top:3.6pt;mso-wrap-distance-bottom:3.6pt;mso-position-horizontal-relative:page;mso-position-vertic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" stroked="f">
          <v:textbox inset="0,0,0,0">
            <w:txbxContent>
              <w:p w14:paraId="3CFA2E9A" w14:textId="77777777" w:rsidR="00E93A42" w:rsidRDefault="00BE2656" w:rsidP="00B2752E">
                <w:pPr>
                  <w:pStyle w:val="MDPIheaderjournallogo"/>
                  <w:jc w:val="center"/>
                  <w:textboxTightWrap w:val="allLines"/>
                  <w:rPr>
                    <w:i w:val="0"/>
                    <w:szCs w:val="16"/>
                  </w:rPr>
                </w:pPr>
                <w:r>
                  <w:rPr>
                    <w:i w:val="0"/>
                    <w:noProof/>
                    <w:szCs w:val="16"/>
                    <w:lang w:eastAsia="zh-CN"/>
                  </w:rPr>
                  <w:pict w14:anchorId="23E2E7C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style="width:42.6pt;height:28.2pt;visibility:visible">
                      <v:imagedata r:id="rId1" o:title="logo-mdpi"/>
                    </v:shape>
                  </w:pict>
                </w:r>
              </w:p>
            </w:txbxContent>
          </v:textbox>
          <w10:wrap anchorx="page" anchory="page"/>
        </v:shape>
      </w:pict>
    </w:r>
    <w:r>
      <w:rPr>
        <w:noProof/>
        <w:lang w:eastAsia="zh-CN"/>
      </w:rPr>
      <w:pict w14:anchorId="47EF28B9">
        <v:shape id="Picture 3" o:spid="_x0000_i1035" type="#_x0000_t75" style="width:139.8pt;height:34.8pt;visibility:visible">
          <v:imagedata r:id="rId2" o:title="JCDD_logo"/>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CA92CCB6"/>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25406440"/>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CFE87F5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BE5A1BBA"/>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C126566E"/>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93442BB8"/>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14488C6"/>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6DAE20A6"/>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19BC930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87253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250A245F"/>
    <w:multiLevelType w:val="hybridMultilevel"/>
    <w:tmpl w:val="29E20A30"/>
    <w:lvl w:ilvl="0" w:tplc="1AF444CE">
      <w:start w:val="1"/>
      <w:numFmt w:val="decimal"/>
      <w:pStyle w:val="MDPI71References"/>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805051C"/>
    <w:multiLevelType w:val="hybridMultilevel"/>
    <w:tmpl w:val="D6480D34"/>
    <w:lvl w:ilvl="0" w:tplc="CDCEE7DA">
      <w:start w:val="1"/>
      <w:numFmt w:val="decimal"/>
      <w:pStyle w:val="MDPI37itemize"/>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12" w15:restartNumberingAfterBreak="0">
    <w:nsid w:val="369A6535"/>
    <w:multiLevelType w:val="hybridMultilevel"/>
    <w:tmpl w:val="3CB68362"/>
    <w:lvl w:ilvl="0" w:tplc="B2367048">
      <w:start w:val="1"/>
      <w:numFmt w:val="bullet"/>
      <w:pStyle w:val="MDPI38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13" w15:restartNumberingAfterBreak="0">
    <w:nsid w:val="55EA4B7D"/>
    <w:multiLevelType w:val="hybridMultilevel"/>
    <w:tmpl w:val="5DB6642C"/>
    <w:lvl w:ilvl="0" w:tplc="03261F2C">
      <w:start w:val="3"/>
      <w:numFmt w:val="bullet"/>
      <w:lvlText w:val=""/>
      <w:lvlJc w:val="left"/>
      <w:pPr>
        <w:ind w:left="473" w:hanging="360"/>
      </w:pPr>
      <w:rPr>
        <w:rFonts w:ascii="Symbol" w:eastAsia="Times New Roman" w:hAnsi="Symbol" w:cs="Times New Roman" w:hint="default"/>
        <w:b/>
      </w:rPr>
    </w:lvl>
    <w:lvl w:ilvl="1" w:tplc="04090003" w:tentative="1">
      <w:start w:val="1"/>
      <w:numFmt w:val="bullet"/>
      <w:lvlText w:val="o"/>
      <w:lvlJc w:val="left"/>
      <w:pPr>
        <w:ind w:left="1193" w:hanging="360"/>
      </w:pPr>
      <w:rPr>
        <w:rFonts w:ascii="Courier New" w:hAnsi="Courier New" w:cs="Courier New" w:hint="default"/>
      </w:rPr>
    </w:lvl>
    <w:lvl w:ilvl="2" w:tplc="04090005" w:tentative="1">
      <w:start w:val="1"/>
      <w:numFmt w:val="bullet"/>
      <w:lvlText w:val=""/>
      <w:lvlJc w:val="left"/>
      <w:pPr>
        <w:ind w:left="1913" w:hanging="360"/>
      </w:pPr>
      <w:rPr>
        <w:rFonts w:ascii="Wingdings" w:hAnsi="Wingdings" w:hint="default"/>
      </w:rPr>
    </w:lvl>
    <w:lvl w:ilvl="3" w:tplc="04090001" w:tentative="1">
      <w:start w:val="1"/>
      <w:numFmt w:val="bullet"/>
      <w:lvlText w:val=""/>
      <w:lvlJc w:val="left"/>
      <w:pPr>
        <w:ind w:left="2633" w:hanging="360"/>
      </w:pPr>
      <w:rPr>
        <w:rFonts w:ascii="Symbol" w:hAnsi="Symbol" w:hint="default"/>
      </w:rPr>
    </w:lvl>
    <w:lvl w:ilvl="4" w:tplc="04090003" w:tentative="1">
      <w:start w:val="1"/>
      <w:numFmt w:val="bullet"/>
      <w:lvlText w:val="o"/>
      <w:lvlJc w:val="left"/>
      <w:pPr>
        <w:ind w:left="3353" w:hanging="360"/>
      </w:pPr>
      <w:rPr>
        <w:rFonts w:ascii="Courier New" w:hAnsi="Courier New" w:cs="Courier New" w:hint="default"/>
      </w:rPr>
    </w:lvl>
    <w:lvl w:ilvl="5" w:tplc="04090005" w:tentative="1">
      <w:start w:val="1"/>
      <w:numFmt w:val="bullet"/>
      <w:lvlText w:val=""/>
      <w:lvlJc w:val="left"/>
      <w:pPr>
        <w:ind w:left="4073" w:hanging="360"/>
      </w:pPr>
      <w:rPr>
        <w:rFonts w:ascii="Wingdings" w:hAnsi="Wingdings" w:hint="default"/>
      </w:rPr>
    </w:lvl>
    <w:lvl w:ilvl="6" w:tplc="04090001" w:tentative="1">
      <w:start w:val="1"/>
      <w:numFmt w:val="bullet"/>
      <w:lvlText w:val=""/>
      <w:lvlJc w:val="left"/>
      <w:pPr>
        <w:ind w:left="4793" w:hanging="360"/>
      </w:pPr>
      <w:rPr>
        <w:rFonts w:ascii="Symbol" w:hAnsi="Symbol" w:hint="default"/>
      </w:rPr>
    </w:lvl>
    <w:lvl w:ilvl="7" w:tplc="04090003" w:tentative="1">
      <w:start w:val="1"/>
      <w:numFmt w:val="bullet"/>
      <w:lvlText w:val="o"/>
      <w:lvlJc w:val="left"/>
      <w:pPr>
        <w:ind w:left="5513" w:hanging="360"/>
      </w:pPr>
      <w:rPr>
        <w:rFonts w:ascii="Courier New" w:hAnsi="Courier New" w:cs="Courier New" w:hint="default"/>
      </w:rPr>
    </w:lvl>
    <w:lvl w:ilvl="8" w:tplc="04090005" w:tentative="1">
      <w:start w:val="1"/>
      <w:numFmt w:val="bullet"/>
      <w:lvlText w:val=""/>
      <w:lvlJc w:val="left"/>
      <w:pPr>
        <w:ind w:left="6233" w:hanging="360"/>
      </w:pPr>
      <w:rPr>
        <w:rFonts w:ascii="Wingdings" w:hAnsi="Wingdings" w:hint="default"/>
      </w:rPr>
    </w:lvl>
  </w:abstractNum>
  <w:num w:numId="1">
    <w:abstractNumId w:val="11"/>
  </w:num>
  <w:num w:numId="2">
    <w:abstractNumId w:val="12"/>
  </w:num>
  <w:num w:numId="3">
    <w:abstractNumId w:val="10"/>
  </w:num>
  <w:num w:numId="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3"/>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bordersDoNotSurroundHeader/>
  <w:bordersDoNotSurroundFooter/>
  <w:attachedTemplate r:id="rId1"/>
  <w:doNotTrackMoves/>
  <w:defaultTabStop w:val="420"/>
  <w:drawingGridVerticalSpacing w:val="156"/>
  <w:displayHorizontalDrawingGridEvery w:val="0"/>
  <w:displayVerticalDrawingGridEvery w:val="2"/>
  <w:characterSpacingControl w:val="compressPunctuation"/>
  <w:hdrShapeDefaults>
    <o:shapedefaults v:ext="edit" spidmax="2050"/>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A43DF6"/>
    <w:rsid w:val="000152A2"/>
    <w:rsid w:val="00041457"/>
    <w:rsid w:val="0006356D"/>
    <w:rsid w:val="000665E3"/>
    <w:rsid w:val="00077CFD"/>
    <w:rsid w:val="000955D5"/>
    <w:rsid w:val="000B429C"/>
    <w:rsid w:val="000B59FC"/>
    <w:rsid w:val="00106CAE"/>
    <w:rsid w:val="001550D5"/>
    <w:rsid w:val="00166045"/>
    <w:rsid w:val="00173136"/>
    <w:rsid w:val="00181025"/>
    <w:rsid w:val="001E2AEB"/>
    <w:rsid w:val="001F49C5"/>
    <w:rsid w:val="00201660"/>
    <w:rsid w:val="002024B1"/>
    <w:rsid w:val="00231738"/>
    <w:rsid w:val="00232552"/>
    <w:rsid w:val="002339D2"/>
    <w:rsid w:val="00236201"/>
    <w:rsid w:val="00237845"/>
    <w:rsid w:val="002441FB"/>
    <w:rsid w:val="002448EB"/>
    <w:rsid w:val="0024531A"/>
    <w:rsid w:val="00274F6E"/>
    <w:rsid w:val="002A1BD6"/>
    <w:rsid w:val="002B69D6"/>
    <w:rsid w:val="002E626C"/>
    <w:rsid w:val="002F2B8C"/>
    <w:rsid w:val="003025D9"/>
    <w:rsid w:val="0030399F"/>
    <w:rsid w:val="003043A1"/>
    <w:rsid w:val="00311004"/>
    <w:rsid w:val="003172A7"/>
    <w:rsid w:val="00326141"/>
    <w:rsid w:val="003263EA"/>
    <w:rsid w:val="00331A80"/>
    <w:rsid w:val="00336BDC"/>
    <w:rsid w:val="0036371B"/>
    <w:rsid w:val="00392CB2"/>
    <w:rsid w:val="003B26D5"/>
    <w:rsid w:val="003D5B56"/>
    <w:rsid w:val="003D7494"/>
    <w:rsid w:val="003E6986"/>
    <w:rsid w:val="003F5A06"/>
    <w:rsid w:val="00401D30"/>
    <w:rsid w:val="00402076"/>
    <w:rsid w:val="00402360"/>
    <w:rsid w:val="00410696"/>
    <w:rsid w:val="00414297"/>
    <w:rsid w:val="0044009F"/>
    <w:rsid w:val="00440C5C"/>
    <w:rsid w:val="00440CE4"/>
    <w:rsid w:val="004519B7"/>
    <w:rsid w:val="00456F74"/>
    <w:rsid w:val="00464799"/>
    <w:rsid w:val="00476434"/>
    <w:rsid w:val="00476F16"/>
    <w:rsid w:val="00484496"/>
    <w:rsid w:val="0049326F"/>
    <w:rsid w:val="00493A40"/>
    <w:rsid w:val="00502A70"/>
    <w:rsid w:val="00516255"/>
    <w:rsid w:val="00541C0D"/>
    <w:rsid w:val="00546259"/>
    <w:rsid w:val="00553D74"/>
    <w:rsid w:val="00587895"/>
    <w:rsid w:val="005971DB"/>
    <w:rsid w:val="005C4055"/>
    <w:rsid w:val="0060168B"/>
    <w:rsid w:val="00602E2A"/>
    <w:rsid w:val="00604657"/>
    <w:rsid w:val="0062508B"/>
    <w:rsid w:val="00652DB5"/>
    <w:rsid w:val="0067210F"/>
    <w:rsid w:val="0067477C"/>
    <w:rsid w:val="006774F2"/>
    <w:rsid w:val="006808AC"/>
    <w:rsid w:val="0069169D"/>
    <w:rsid w:val="00692393"/>
    <w:rsid w:val="006D14DB"/>
    <w:rsid w:val="006E095F"/>
    <w:rsid w:val="006E5914"/>
    <w:rsid w:val="006F743A"/>
    <w:rsid w:val="006F7561"/>
    <w:rsid w:val="007002A5"/>
    <w:rsid w:val="007101A1"/>
    <w:rsid w:val="00720CB7"/>
    <w:rsid w:val="007226A8"/>
    <w:rsid w:val="007262F2"/>
    <w:rsid w:val="00741D31"/>
    <w:rsid w:val="00742D82"/>
    <w:rsid w:val="00753E3D"/>
    <w:rsid w:val="007A082B"/>
    <w:rsid w:val="007A4191"/>
    <w:rsid w:val="007D1644"/>
    <w:rsid w:val="007D567E"/>
    <w:rsid w:val="007F018A"/>
    <w:rsid w:val="00802228"/>
    <w:rsid w:val="0081172E"/>
    <w:rsid w:val="00821117"/>
    <w:rsid w:val="00825CF2"/>
    <w:rsid w:val="00834C97"/>
    <w:rsid w:val="00836D60"/>
    <w:rsid w:val="00857444"/>
    <w:rsid w:val="00865497"/>
    <w:rsid w:val="00883789"/>
    <w:rsid w:val="0089233D"/>
    <w:rsid w:val="008C3CC7"/>
    <w:rsid w:val="008E0B68"/>
    <w:rsid w:val="008E4D83"/>
    <w:rsid w:val="008F1B08"/>
    <w:rsid w:val="00900537"/>
    <w:rsid w:val="00913019"/>
    <w:rsid w:val="00920BC8"/>
    <w:rsid w:val="009812E5"/>
    <w:rsid w:val="00987613"/>
    <w:rsid w:val="00996CA5"/>
    <w:rsid w:val="009A14BB"/>
    <w:rsid w:val="009B1FB9"/>
    <w:rsid w:val="009D762F"/>
    <w:rsid w:val="009F70E6"/>
    <w:rsid w:val="00A03E33"/>
    <w:rsid w:val="00A16A1C"/>
    <w:rsid w:val="00A43DF6"/>
    <w:rsid w:val="00A60078"/>
    <w:rsid w:val="00A81061"/>
    <w:rsid w:val="00AD6B8A"/>
    <w:rsid w:val="00AD75F0"/>
    <w:rsid w:val="00AE2B83"/>
    <w:rsid w:val="00AE3AED"/>
    <w:rsid w:val="00AE5384"/>
    <w:rsid w:val="00B2752E"/>
    <w:rsid w:val="00B64ACD"/>
    <w:rsid w:val="00B7160E"/>
    <w:rsid w:val="00B71B03"/>
    <w:rsid w:val="00BA044D"/>
    <w:rsid w:val="00BA0FF9"/>
    <w:rsid w:val="00BB0A6E"/>
    <w:rsid w:val="00BB0F70"/>
    <w:rsid w:val="00BB5D79"/>
    <w:rsid w:val="00BB6D64"/>
    <w:rsid w:val="00BE2656"/>
    <w:rsid w:val="00C12857"/>
    <w:rsid w:val="00C14C80"/>
    <w:rsid w:val="00C16667"/>
    <w:rsid w:val="00C170F4"/>
    <w:rsid w:val="00C2158A"/>
    <w:rsid w:val="00C24817"/>
    <w:rsid w:val="00C45753"/>
    <w:rsid w:val="00C52AF6"/>
    <w:rsid w:val="00C64BDA"/>
    <w:rsid w:val="00C714C8"/>
    <w:rsid w:val="00C71B71"/>
    <w:rsid w:val="00C73D5B"/>
    <w:rsid w:val="00C81D04"/>
    <w:rsid w:val="00CD32FF"/>
    <w:rsid w:val="00CE7A44"/>
    <w:rsid w:val="00D67AB8"/>
    <w:rsid w:val="00D83C0F"/>
    <w:rsid w:val="00DE7F0B"/>
    <w:rsid w:val="00DF415B"/>
    <w:rsid w:val="00E00784"/>
    <w:rsid w:val="00E05B5D"/>
    <w:rsid w:val="00E05CDF"/>
    <w:rsid w:val="00E104CC"/>
    <w:rsid w:val="00E14A09"/>
    <w:rsid w:val="00E66018"/>
    <w:rsid w:val="00E826C4"/>
    <w:rsid w:val="00E93A42"/>
    <w:rsid w:val="00EA05DE"/>
    <w:rsid w:val="00EA217E"/>
    <w:rsid w:val="00EB2B6B"/>
    <w:rsid w:val="00EC5D31"/>
    <w:rsid w:val="00EE61FE"/>
    <w:rsid w:val="00EE7DDD"/>
    <w:rsid w:val="00F05849"/>
    <w:rsid w:val="00F06273"/>
    <w:rsid w:val="00F1776A"/>
    <w:rsid w:val="00F27B02"/>
    <w:rsid w:val="00F63096"/>
    <w:rsid w:val="00F73B01"/>
    <w:rsid w:val="00F860A6"/>
    <w:rsid w:val="00FB1FA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3B2E05B2"/>
  <w15:chartTrackingRefBased/>
  <w15:docId w15:val="{5E1D8C7F-A074-42FF-80C2-DF18A798DE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SimSun"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0168B"/>
    <w:pPr>
      <w:spacing w:line="340" w:lineRule="atLeast"/>
      <w:jc w:val="both"/>
    </w:pPr>
    <w:rPr>
      <w:rFonts w:ascii="Times New Roman" w:eastAsia="Times New Roman" w:hAnsi="Times New Roman"/>
      <w:color w:val="000000"/>
      <w:sz w:val="24"/>
      <w:lang w:eastAsia="de-DE"/>
    </w:rPr>
  </w:style>
  <w:style w:type="paragraph" w:styleId="Heading1">
    <w:name w:val="heading 1"/>
    <w:basedOn w:val="Normal"/>
    <w:next w:val="Normal"/>
    <w:link w:val="Heading1Char"/>
    <w:uiPriority w:val="9"/>
    <w:qFormat/>
    <w:rsid w:val="003172A7"/>
    <w:pPr>
      <w:keepNext/>
      <w:spacing w:before="240" w:after="60"/>
      <w:outlineLvl w:val="0"/>
    </w:pPr>
    <w:rPr>
      <w:rFonts w:ascii="Calibri Light" w:hAnsi="Calibri Light"/>
      <w:b/>
      <w:bCs/>
      <w:kern w:val="32"/>
      <w:sz w:val="32"/>
      <w:szCs w:val="32"/>
    </w:rPr>
  </w:style>
  <w:style w:type="paragraph" w:styleId="Heading2">
    <w:name w:val="heading 2"/>
    <w:basedOn w:val="Normal"/>
    <w:next w:val="Normal"/>
    <w:link w:val="Heading2Char"/>
    <w:uiPriority w:val="9"/>
    <w:semiHidden/>
    <w:unhideWhenUsed/>
    <w:qFormat/>
    <w:rsid w:val="003172A7"/>
    <w:pPr>
      <w:keepNext/>
      <w:spacing w:before="240" w:after="60"/>
      <w:outlineLvl w:val="1"/>
    </w:pPr>
    <w:rPr>
      <w:rFonts w:ascii="Calibri Light" w:hAnsi="Calibri Light"/>
      <w:b/>
      <w:bCs/>
      <w:i/>
      <w:iCs/>
      <w:sz w:val="28"/>
      <w:szCs w:val="28"/>
    </w:rPr>
  </w:style>
  <w:style w:type="paragraph" w:styleId="Heading3">
    <w:name w:val="heading 3"/>
    <w:basedOn w:val="Normal"/>
    <w:next w:val="Normal"/>
    <w:link w:val="Heading3Char"/>
    <w:uiPriority w:val="9"/>
    <w:semiHidden/>
    <w:unhideWhenUsed/>
    <w:qFormat/>
    <w:rsid w:val="003172A7"/>
    <w:pPr>
      <w:keepNext/>
      <w:spacing w:before="240" w:after="60"/>
      <w:outlineLvl w:val="2"/>
    </w:pPr>
    <w:rPr>
      <w:rFonts w:ascii="Calibri Light" w:hAnsi="Calibri Light"/>
      <w:b/>
      <w:bCs/>
      <w:sz w:val="26"/>
      <w:szCs w:val="26"/>
    </w:rPr>
  </w:style>
  <w:style w:type="paragraph" w:styleId="Heading4">
    <w:name w:val="heading 4"/>
    <w:basedOn w:val="Normal"/>
    <w:next w:val="Normal"/>
    <w:link w:val="Heading4Char"/>
    <w:uiPriority w:val="9"/>
    <w:semiHidden/>
    <w:unhideWhenUsed/>
    <w:qFormat/>
    <w:rsid w:val="003172A7"/>
    <w:pPr>
      <w:keepNext/>
      <w:spacing w:before="240" w:after="60"/>
      <w:outlineLvl w:val="3"/>
    </w:pPr>
    <w:rPr>
      <w:rFonts w:ascii="Calibri" w:hAnsi="Calibri"/>
      <w:b/>
      <w:bCs/>
      <w:sz w:val="28"/>
      <w:szCs w:val="28"/>
    </w:rPr>
  </w:style>
  <w:style w:type="paragraph" w:styleId="Heading5">
    <w:name w:val="heading 5"/>
    <w:basedOn w:val="Normal"/>
    <w:next w:val="Normal"/>
    <w:link w:val="Heading5Char"/>
    <w:uiPriority w:val="9"/>
    <w:semiHidden/>
    <w:unhideWhenUsed/>
    <w:qFormat/>
    <w:rsid w:val="003172A7"/>
    <w:pPr>
      <w:spacing w:before="240" w:after="60"/>
      <w:outlineLvl w:val="4"/>
    </w:pPr>
    <w:rPr>
      <w:rFonts w:ascii="Calibri" w:hAnsi="Calibri"/>
      <w:b/>
      <w:bCs/>
      <w:i/>
      <w:iCs/>
      <w:sz w:val="26"/>
      <w:szCs w:val="26"/>
    </w:rPr>
  </w:style>
  <w:style w:type="paragraph" w:styleId="Heading6">
    <w:name w:val="heading 6"/>
    <w:basedOn w:val="Normal"/>
    <w:next w:val="Normal"/>
    <w:link w:val="Heading6Char"/>
    <w:uiPriority w:val="9"/>
    <w:semiHidden/>
    <w:unhideWhenUsed/>
    <w:qFormat/>
    <w:rsid w:val="003172A7"/>
    <w:pPr>
      <w:spacing w:before="240" w:after="60"/>
      <w:outlineLvl w:val="5"/>
    </w:pPr>
    <w:rPr>
      <w:rFonts w:ascii="Calibri" w:hAnsi="Calibri"/>
      <w:b/>
      <w:bCs/>
      <w:sz w:val="22"/>
      <w:szCs w:val="22"/>
    </w:rPr>
  </w:style>
  <w:style w:type="paragraph" w:styleId="Heading7">
    <w:name w:val="heading 7"/>
    <w:basedOn w:val="Normal"/>
    <w:next w:val="Normal"/>
    <w:link w:val="Heading7Char"/>
    <w:uiPriority w:val="9"/>
    <w:semiHidden/>
    <w:unhideWhenUsed/>
    <w:qFormat/>
    <w:rsid w:val="003172A7"/>
    <w:pPr>
      <w:spacing w:before="240" w:after="60"/>
      <w:outlineLvl w:val="6"/>
    </w:pPr>
    <w:rPr>
      <w:rFonts w:ascii="Calibri" w:hAnsi="Calibri"/>
      <w:szCs w:val="24"/>
    </w:rPr>
  </w:style>
  <w:style w:type="paragraph" w:styleId="Heading8">
    <w:name w:val="heading 8"/>
    <w:basedOn w:val="Normal"/>
    <w:next w:val="Normal"/>
    <w:link w:val="Heading8Char"/>
    <w:uiPriority w:val="9"/>
    <w:semiHidden/>
    <w:unhideWhenUsed/>
    <w:qFormat/>
    <w:rsid w:val="003172A7"/>
    <w:pPr>
      <w:spacing w:before="240" w:after="60"/>
      <w:outlineLvl w:val="7"/>
    </w:pPr>
    <w:rPr>
      <w:rFonts w:ascii="Calibri" w:hAnsi="Calibri"/>
      <w:i/>
      <w:iCs/>
      <w:szCs w:val="24"/>
    </w:rPr>
  </w:style>
  <w:style w:type="paragraph" w:styleId="Heading9">
    <w:name w:val="heading 9"/>
    <w:basedOn w:val="Normal"/>
    <w:next w:val="Normal"/>
    <w:link w:val="Heading9Char"/>
    <w:uiPriority w:val="9"/>
    <w:semiHidden/>
    <w:unhideWhenUsed/>
    <w:qFormat/>
    <w:rsid w:val="003172A7"/>
    <w:pPr>
      <w:spacing w:before="240" w:after="60"/>
      <w:outlineLvl w:val="8"/>
    </w:pPr>
    <w:rPr>
      <w:rFonts w:ascii="Calibri Light" w:hAnsi="Calibri Light"/>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DPI11articletype">
    <w:name w:val="MDPI_1.1_article_type"/>
    <w:basedOn w:val="MDPI31text"/>
    <w:next w:val="MDPI12title"/>
    <w:qFormat/>
    <w:rsid w:val="0060168B"/>
    <w:pPr>
      <w:spacing w:before="240" w:line="240" w:lineRule="auto"/>
      <w:ind w:firstLine="0"/>
      <w:jc w:val="left"/>
    </w:pPr>
    <w:rPr>
      <w:i/>
    </w:rPr>
  </w:style>
  <w:style w:type="paragraph" w:customStyle="1" w:styleId="MDPI12title">
    <w:name w:val="MDPI_1.2_title"/>
    <w:next w:val="MDPI13authornames"/>
    <w:qFormat/>
    <w:rsid w:val="0060168B"/>
    <w:pPr>
      <w:adjustRightInd w:val="0"/>
      <w:snapToGrid w:val="0"/>
      <w:spacing w:after="240" w:line="400" w:lineRule="exact"/>
    </w:pPr>
    <w:rPr>
      <w:rFonts w:ascii="Palatino Linotype" w:eastAsia="Times New Roman" w:hAnsi="Palatino Linotype"/>
      <w:b/>
      <w:snapToGrid w:val="0"/>
      <w:color w:val="000000"/>
      <w:sz w:val="36"/>
      <w:lang w:eastAsia="de-DE" w:bidi="en-US"/>
    </w:rPr>
  </w:style>
  <w:style w:type="paragraph" w:customStyle="1" w:styleId="MDPI13authornames">
    <w:name w:val="MDPI_1.3_authornames"/>
    <w:basedOn w:val="MDPI31text"/>
    <w:next w:val="MDPI14history"/>
    <w:qFormat/>
    <w:rsid w:val="0060168B"/>
    <w:pPr>
      <w:spacing w:after="120"/>
      <w:ind w:firstLine="0"/>
      <w:jc w:val="left"/>
    </w:pPr>
    <w:rPr>
      <w:b/>
      <w:snapToGrid/>
    </w:rPr>
  </w:style>
  <w:style w:type="paragraph" w:customStyle="1" w:styleId="MDPI14history">
    <w:name w:val="MDPI_1.4_history"/>
    <w:basedOn w:val="MDPI62Acknowledgments"/>
    <w:next w:val="Normal"/>
    <w:qFormat/>
    <w:rsid w:val="0060168B"/>
    <w:pPr>
      <w:ind w:left="113"/>
      <w:jc w:val="left"/>
    </w:pPr>
    <w:rPr>
      <w:snapToGrid/>
    </w:rPr>
  </w:style>
  <w:style w:type="paragraph" w:customStyle="1" w:styleId="MDPI16affiliation">
    <w:name w:val="MDPI_1.6_affiliation"/>
    <w:basedOn w:val="MDPI62Acknowledgments"/>
    <w:qFormat/>
    <w:rsid w:val="0060168B"/>
    <w:pPr>
      <w:spacing w:before="0"/>
      <w:ind w:left="311" w:hanging="198"/>
      <w:jc w:val="left"/>
    </w:pPr>
    <w:rPr>
      <w:snapToGrid/>
      <w:szCs w:val="18"/>
    </w:rPr>
  </w:style>
  <w:style w:type="paragraph" w:customStyle="1" w:styleId="MDPI17abstract">
    <w:name w:val="MDPI_1.7_abstract"/>
    <w:basedOn w:val="MDPI31text"/>
    <w:next w:val="MDPI18keywords"/>
    <w:qFormat/>
    <w:rsid w:val="0060168B"/>
    <w:pPr>
      <w:spacing w:before="240"/>
      <w:ind w:left="113" w:firstLine="0"/>
    </w:pPr>
    <w:rPr>
      <w:snapToGrid/>
    </w:rPr>
  </w:style>
  <w:style w:type="paragraph" w:customStyle="1" w:styleId="MDPI18keywords">
    <w:name w:val="MDPI_1.8_keywords"/>
    <w:basedOn w:val="MDPI31text"/>
    <w:next w:val="Normal"/>
    <w:qFormat/>
    <w:rsid w:val="0060168B"/>
    <w:pPr>
      <w:spacing w:before="240"/>
      <w:ind w:left="113" w:firstLine="0"/>
    </w:pPr>
  </w:style>
  <w:style w:type="paragraph" w:customStyle="1" w:styleId="MDPI19line">
    <w:name w:val="MDPI_1.9_line"/>
    <w:basedOn w:val="MDPI31text"/>
    <w:qFormat/>
    <w:rsid w:val="0060168B"/>
    <w:pPr>
      <w:pBdr>
        <w:bottom w:val="single" w:sz="6" w:space="1" w:color="auto"/>
      </w:pBdr>
      <w:ind w:firstLine="0"/>
    </w:pPr>
    <w:rPr>
      <w:snapToGrid/>
      <w:szCs w:val="24"/>
    </w:rPr>
  </w:style>
  <w:style w:type="paragraph" w:styleId="Footer">
    <w:name w:val="footer"/>
    <w:basedOn w:val="Normal"/>
    <w:link w:val="FooterChar"/>
    <w:uiPriority w:val="99"/>
    <w:rsid w:val="0060168B"/>
    <w:pPr>
      <w:tabs>
        <w:tab w:val="center" w:pos="4153"/>
        <w:tab w:val="right" w:pos="8306"/>
      </w:tabs>
      <w:snapToGrid w:val="0"/>
      <w:spacing w:line="240" w:lineRule="atLeast"/>
    </w:pPr>
    <w:rPr>
      <w:sz w:val="18"/>
      <w:szCs w:val="18"/>
    </w:rPr>
  </w:style>
  <w:style w:type="character" w:customStyle="1" w:styleId="FooterChar">
    <w:name w:val="Footer Char"/>
    <w:link w:val="Footer"/>
    <w:uiPriority w:val="99"/>
    <w:rsid w:val="0060168B"/>
    <w:rPr>
      <w:rFonts w:ascii="Times New Roman" w:eastAsia="Times New Roman" w:hAnsi="Times New Roman" w:cs="Times New Roman"/>
      <w:color w:val="000000"/>
      <w:kern w:val="0"/>
      <w:sz w:val="18"/>
      <w:szCs w:val="18"/>
      <w:lang w:eastAsia="de-DE"/>
    </w:rPr>
  </w:style>
  <w:style w:type="paragraph" w:styleId="Header">
    <w:name w:val="header"/>
    <w:basedOn w:val="Normal"/>
    <w:link w:val="HeaderChar"/>
    <w:uiPriority w:val="99"/>
    <w:rsid w:val="0060168B"/>
    <w:pPr>
      <w:pBdr>
        <w:bottom w:val="single" w:sz="6" w:space="1" w:color="auto"/>
      </w:pBdr>
      <w:tabs>
        <w:tab w:val="center" w:pos="4153"/>
        <w:tab w:val="right" w:pos="8306"/>
      </w:tabs>
      <w:snapToGrid w:val="0"/>
      <w:spacing w:line="240" w:lineRule="atLeast"/>
      <w:jc w:val="center"/>
    </w:pPr>
    <w:rPr>
      <w:sz w:val="18"/>
      <w:szCs w:val="18"/>
    </w:rPr>
  </w:style>
  <w:style w:type="character" w:customStyle="1" w:styleId="HeaderChar">
    <w:name w:val="Header Char"/>
    <w:link w:val="Header"/>
    <w:uiPriority w:val="99"/>
    <w:rsid w:val="0060168B"/>
    <w:rPr>
      <w:rFonts w:ascii="Times New Roman" w:eastAsia="Times New Roman" w:hAnsi="Times New Roman" w:cs="Times New Roman"/>
      <w:color w:val="000000"/>
      <w:kern w:val="0"/>
      <w:sz w:val="18"/>
      <w:szCs w:val="18"/>
      <w:lang w:eastAsia="de-DE"/>
    </w:rPr>
  </w:style>
  <w:style w:type="paragraph" w:customStyle="1" w:styleId="MDPIheaderjournallogo">
    <w:name w:val="MDPI_header_journal_logo"/>
    <w:qFormat/>
    <w:rsid w:val="0060168B"/>
    <w:pPr>
      <w:adjustRightInd w:val="0"/>
      <w:snapToGrid w:val="0"/>
    </w:pPr>
    <w:rPr>
      <w:rFonts w:ascii="Palatino Linotype" w:eastAsia="Times New Roman" w:hAnsi="Palatino Linotype"/>
      <w:i/>
      <w:color w:val="000000"/>
      <w:sz w:val="24"/>
      <w:szCs w:val="22"/>
      <w:lang w:eastAsia="de-CH"/>
    </w:rPr>
  </w:style>
  <w:style w:type="paragraph" w:customStyle="1" w:styleId="MDPI32textnoindent">
    <w:name w:val="MDPI_3.2_text_no_indent"/>
    <w:basedOn w:val="MDPI31text"/>
    <w:qFormat/>
    <w:rsid w:val="0060168B"/>
    <w:pPr>
      <w:ind w:firstLine="0"/>
    </w:pPr>
  </w:style>
  <w:style w:type="paragraph" w:customStyle="1" w:styleId="MDPI33textspaceafter">
    <w:name w:val="MDPI_3.3_text_space_after"/>
    <w:basedOn w:val="MDPI31text"/>
    <w:qFormat/>
    <w:rsid w:val="0060168B"/>
    <w:pPr>
      <w:spacing w:after="240"/>
    </w:pPr>
  </w:style>
  <w:style w:type="paragraph" w:customStyle="1" w:styleId="MDPI35textbeforelist">
    <w:name w:val="MDPI_3.5_text_before_list"/>
    <w:basedOn w:val="MDPI31text"/>
    <w:qFormat/>
    <w:rsid w:val="0060168B"/>
    <w:pPr>
      <w:spacing w:after="120"/>
    </w:pPr>
  </w:style>
  <w:style w:type="paragraph" w:customStyle="1" w:styleId="MDPI36textafterlist">
    <w:name w:val="MDPI_3.6_text_after_list"/>
    <w:basedOn w:val="MDPI31text"/>
    <w:qFormat/>
    <w:rsid w:val="0060168B"/>
    <w:pPr>
      <w:spacing w:before="120"/>
    </w:pPr>
  </w:style>
  <w:style w:type="paragraph" w:customStyle="1" w:styleId="MDPI37itemize">
    <w:name w:val="MDPI_3.7_itemize"/>
    <w:basedOn w:val="MDPI31text"/>
    <w:qFormat/>
    <w:rsid w:val="0060168B"/>
    <w:pPr>
      <w:numPr>
        <w:numId w:val="1"/>
      </w:numPr>
      <w:ind w:left="425" w:hanging="425"/>
    </w:pPr>
  </w:style>
  <w:style w:type="paragraph" w:customStyle="1" w:styleId="MDPI38bullet">
    <w:name w:val="MDPI_3.8_bullet"/>
    <w:basedOn w:val="MDPI31text"/>
    <w:qFormat/>
    <w:rsid w:val="0060168B"/>
    <w:pPr>
      <w:numPr>
        <w:numId w:val="2"/>
      </w:numPr>
      <w:ind w:left="425" w:hanging="425"/>
    </w:pPr>
  </w:style>
  <w:style w:type="paragraph" w:customStyle="1" w:styleId="MDPI39equation">
    <w:name w:val="MDPI_3.9_equation"/>
    <w:basedOn w:val="MDPI31text"/>
    <w:qFormat/>
    <w:rsid w:val="0060168B"/>
    <w:pPr>
      <w:spacing w:before="120" w:after="120"/>
      <w:ind w:left="709" w:firstLine="0"/>
      <w:jc w:val="center"/>
    </w:pPr>
  </w:style>
  <w:style w:type="paragraph" w:customStyle="1" w:styleId="MDPI3aequationnumber">
    <w:name w:val="MDPI_3.a_equation_number"/>
    <w:basedOn w:val="MDPI31text"/>
    <w:qFormat/>
    <w:rsid w:val="0060168B"/>
    <w:pPr>
      <w:spacing w:before="120" w:after="120" w:line="240" w:lineRule="auto"/>
      <w:ind w:firstLine="0"/>
      <w:jc w:val="right"/>
    </w:pPr>
  </w:style>
  <w:style w:type="paragraph" w:customStyle="1" w:styleId="MDPI62Acknowledgments">
    <w:name w:val="MDPI_6.2_Acknowledgments"/>
    <w:qFormat/>
    <w:rsid w:val="0060168B"/>
    <w:pPr>
      <w:adjustRightInd w:val="0"/>
      <w:snapToGrid w:val="0"/>
      <w:spacing w:before="120" w:line="200" w:lineRule="atLeast"/>
      <w:jc w:val="both"/>
    </w:pPr>
    <w:rPr>
      <w:rFonts w:ascii="Palatino Linotype" w:eastAsia="Times New Roman" w:hAnsi="Palatino Linotype"/>
      <w:snapToGrid w:val="0"/>
      <w:color w:val="000000"/>
      <w:sz w:val="18"/>
      <w:lang w:eastAsia="de-DE" w:bidi="en-US"/>
    </w:rPr>
  </w:style>
  <w:style w:type="paragraph" w:customStyle="1" w:styleId="MDPI41tablecaption">
    <w:name w:val="MDPI_4.1_table_caption"/>
    <w:basedOn w:val="MDPI62Acknowledgments"/>
    <w:qFormat/>
    <w:rsid w:val="0060168B"/>
    <w:pPr>
      <w:spacing w:before="240" w:after="120" w:line="260" w:lineRule="atLeast"/>
      <w:ind w:left="425" w:right="425"/>
    </w:pPr>
    <w:rPr>
      <w:snapToGrid/>
      <w:szCs w:val="22"/>
    </w:rPr>
  </w:style>
  <w:style w:type="paragraph" w:customStyle="1" w:styleId="MDPI42tablebody">
    <w:name w:val="MDPI_4.2_table_body"/>
    <w:qFormat/>
    <w:rsid w:val="00883789"/>
    <w:pPr>
      <w:adjustRightInd w:val="0"/>
      <w:snapToGrid w:val="0"/>
      <w:spacing w:line="260" w:lineRule="atLeast"/>
      <w:jc w:val="center"/>
    </w:pPr>
    <w:rPr>
      <w:rFonts w:ascii="Palatino Linotype" w:eastAsia="Times New Roman" w:hAnsi="Palatino Linotype"/>
      <w:snapToGrid w:val="0"/>
      <w:color w:val="000000"/>
      <w:lang w:eastAsia="de-DE" w:bidi="en-US"/>
    </w:rPr>
  </w:style>
  <w:style w:type="paragraph" w:customStyle="1" w:styleId="MDPI43tablefooter">
    <w:name w:val="MDPI_4.3_table_footer"/>
    <w:basedOn w:val="MDPI41tablecaption"/>
    <w:next w:val="MDPI31text"/>
    <w:qFormat/>
    <w:rsid w:val="0060168B"/>
    <w:pPr>
      <w:spacing w:before="0"/>
      <w:ind w:left="0" w:right="0"/>
    </w:pPr>
  </w:style>
  <w:style w:type="paragraph" w:customStyle="1" w:styleId="MDPI51figurecaption">
    <w:name w:val="MDPI_5.1_figure_caption"/>
    <w:basedOn w:val="MDPI62Acknowledgments"/>
    <w:qFormat/>
    <w:rsid w:val="0060168B"/>
    <w:pPr>
      <w:spacing w:after="240" w:line="260" w:lineRule="atLeast"/>
      <w:ind w:left="425" w:right="425"/>
    </w:pPr>
    <w:rPr>
      <w:snapToGrid/>
    </w:rPr>
  </w:style>
  <w:style w:type="paragraph" w:customStyle="1" w:styleId="MDPI52figure">
    <w:name w:val="MDPI_5.2_figure"/>
    <w:qFormat/>
    <w:rsid w:val="0060168B"/>
    <w:pPr>
      <w:jc w:val="center"/>
    </w:pPr>
    <w:rPr>
      <w:rFonts w:ascii="Palatino Linotype" w:eastAsia="Times New Roman" w:hAnsi="Palatino Linotype"/>
      <w:snapToGrid w:val="0"/>
      <w:color w:val="000000"/>
      <w:sz w:val="24"/>
      <w:lang w:eastAsia="de-DE" w:bidi="en-US"/>
    </w:rPr>
  </w:style>
  <w:style w:type="paragraph" w:customStyle="1" w:styleId="MDPI61Supplementary">
    <w:name w:val="MDPI_6.1_Supplementary"/>
    <w:basedOn w:val="MDPI62Acknowledgments"/>
    <w:qFormat/>
    <w:rsid w:val="0060168B"/>
    <w:pPr>
      <w:spacing w:before="240"/>
    </w:pPr>
    <w:rPr>
      <w:lang w:eastAsia="en-US"/>
    </w:rPr>
  </w:style>
  <w:style w:type="paragraph" w:customStyle="1" w:styleId="MDPI63AuthorContributions">
    <w:name w:val="MDPI_6.3_AuthorContributions"/>
    <w:basedOn w:val="MDPI62Acknowledgments"/>
    <w:qFormat/>
    <w:rsid w:val="0060168B"/>
    <w:rPr>
      <w:rFonts w:eastAsia="SimSun"/>
      <w:color w:val="auto"/>
      <w:lang w:eastAsia="en-US"/>
    </w:rPr>
  </w:style>
  <w:style w:type="paragraph" w:customStyle="1" w:styleId="MDPI64CoI">
    <w:name w:val="MDPI_6.4_CoI"/>
    <w:basedOn w:val="MDPI62Acknowledgments"/>
    <w:qFormat/>
    <w:rsid w:val="0060168B"/>
  </w:style>
  <w:style w:type="paragraph" w:customStyle="1" w:styleId="MDPI31text">
    <w:name w:val="MDPI_3.1_text"/>
    <w:qFormat/>
    <w:rsid w:val="0060168B"/>
    <w:pPr>
      <w:adjustRightInd w:val="0"/>
      <w:snapToGrid w:val="0"/>
      <w:spacing w:line="260" w:lineRule="atLeast"/>
      <w:ind w:firstLine="425"/>
      <w:jc w:val="both"/>
    </w:pPr>
    <w:rPr>
      <w:rFonts w:ascii="Palatino Linotype" w:eastAsia="Times New Roman" w:hAnsi="Palatino Linotype"/>
      <w:snapToGrid w:val="0"/>
      <w:color w:val="000000"/>
      <w:szCs w:val="22"/>
      <w:lang w:eastAsia="de-DE" w:bidi="en-US"/>
    </w:rPr>
  </w:style>
  <w:style w:type="paragraph" w:customStyle="1" w:styleId="MDPI23heading3">
    <w:name w:val="MDPI_2.3_heading3"/>
    <w:basedOn w:val="MDPI31text"/>
    <w:qFormat/>
    <w:rsid w:val="0060168B"/>
    <w:pPr>
      <w:spacing w:before="240" w:after="120"/>
      <w:ind w:firstLine="0"/>
      <w:jc w:val="left"/>
      <w:outlineLvl w:val="2"/>
    </w:pPr>
  </w:style>
  <w:style w:type="paragraph" w:customStyle="1" w:styleId="MDPI21heading1">
    <w:name w:val="MDPI_2.1_heading1"/>
    <w:basedOn w:val="MDPI23heading3"/>
    <w:qFormat/>
    <w:rsid w:val="0060168B"/>
    <w:pPr>
      <w:outlineLvl w:val="0"/>
    </w:pPr>
    <w:rPr>
      <w:b/>
    </w:rPr>
  </w:style>
  <w:style w:type="paragraph" w:customStyle="1" w:styleId="MDPI22heading2">
    <w:name w:val="MDPI_2.2_heading2"/>
    <w:basedOn w:val="Normal"/>
    <w:qFormat/>
    <w:rsid w:val="0060168B"/>
    <w:pPr>
      <w:kinsoku w:val="0"/>
      <w:overflowPunct w:val="0"/>
      <w:autoSpaceDE w:val="0"/>
      <w:autoSpaceDN w:val="0"/>
      <w:adjustRightInd w:val="0"/>
      <w:snapToGrid w:val="0"/>
      <w:spacing w:before="240" w:after="120" w:line="260" w:lineRule="atLeast"/>
      <w:jc w:val="left"/>
      <w:outlineLvl w:val="1"/>
    </w:pPr>
    <w:rPr>
      <w:rFonts w:ascii="Palatino Linotype" w:hAnsi="Palatino Linotype"/>
      <w:i/>
      <w:noProof/>
      <w:snapToGrid w:val="0"/>
      <w:sz w:val="20"/>
      <w:szCs w:val="22"/>
      <w:lang w:bidi="en-US"/>
    </w:rPr>
  </w:style>
  <w:style w:type="paragraph" w:customStyle="1" w:styleId="MDPI71References">
    <w:name w:val="MDPI_7.1_References"/>
    <w:basedOn w:val="MDPI62Acknowledgments"/>
    <w:qFormat/>
    <w:rsid w:val="0060168B"/>
    <w:pPr>
      <w:numPr>
        <w:numId w:val="3"/>
      </w:numPr>
      <w:spacing w:before="0" w:line="260" w:lineRule="atLeast"/>
      <w:ind w:left="425" w:hanging="425"/>
    </w:pPr>
  </w:style>
  <w:style w:type="paragraph" w:styleId="BalloonText">
    <w:name w:val="Balloon Text"/>
    <w:basedOn w:val="Normal"/>
    <w:link w:val="BalloonTextChar"/>
    <w:uiPriority w:val="99"/>
    <w:semiHidden/>
    <w:unhideWhenUsed/>
    <w:rsid w:val="0060168B"/>
    <w:pPr>
      <w:spacing w:line="240" w:lineRule="auto"/>
    </w:pPr>
    <w:rPr>
      <w:sz w:val="18"/>
      <w:szCs w:val="18"/>
    </w:rPr>
  </w:style>
  <w:style w:type="character" w:customStyle="1" w:styleId="BalloonTextChar">
    <w:name w:val="Balloon Text Char"/>
    <w:link w:val="BalloonText"/>
    <w:uiPriority w:val="99"/>
    <w:semiHidden/>
    <w:rsid w:val="0060168B"/>
    <w:rPr>
      <w:rFonts w:ascii="Times New Roman" w:eastAsia="Times New Roman" w:hAnsi="Times New Roman" w:cs="Times New Roman"/>
      <w:color w:val="000000"/>
      <w:kern w:val="0"/>
      <w:sz w:val="18"/>
      <w:szCs w:val="18"/>
      <w:lang w:eastAsia="de-DE"/>
    </w:rPr>
  </w:style>
  <w:style w:type="character" w:styleId="LineNumber">
    <w:name w:val="line number"/>
    <w:basedOn w:val="DefaultParagraphFont"/>
    <w:uiPriority w:val="99"/>
    <w:semiHidden/>
    <w:unhideWhenUsed/>
    <w:rsid w:val="0060168B"/>
  </w:style>
  <w:style w:type="table" w:customStyle="1" w:styleId="MDPI41threelinetable">
    <w:name w:val="MDPI_4.1_three_line_table"/>
    <w:basedOn w:val="TableNormal"/>
    <w:uiPriority w:val="99"/>
    <w:rsid w:val="00883789"/>
    <w:pPr>
      <w:adjustRightInd w:val="0"/>
      <w:snapToGrid w:val="0"/>
      <w:jc w:val="center"/>
    </w:pPr>
    <w:rPr>
      <w:rFonts w:ascii="Palatino Linotype" w:hAnsi="Palatino Linotype"/>
      <w:color w:val="000000"/>
    </w:rPr>
    <w:tblPr>
      <w:jc w:val="center"/>
      <w:tblBorders>
        <w:top w:val="single" w:sz="8" w:space="0" w:color="auto"/>
        <w:bottom w:val="single" w:sz="8" w:space="0" w:color="auto"/>
      </w:tblBorders>
    </w:tblPr>
    <w:trPr>
      <w:jc w:val="center"/>
    </w:trPr>
    <w:tcPr>
      <w:vAlign w:val="center"/>
    </w:tcPr>
    <w:tblStylePr w:type="firstRow">
      <w:rPr>
        <w:rFonts w:ascii="Calibri Light" w:hAnsi="Calibri Light"/>
        <w:b/>
        <w:i w:val="0"/>
        <w:sz w:val="20"/>
      </w:rPr>
      <w:tblPr/>
      <w:tcPr>
        <w:tcBorders>
          <w:bottom w:val="single" w:sz="4" w:space="0" w:color="auto"/>
        </w:tcBorders>
      </w:tcPr>
    </w:tblStylePr>
  </w:style>
  <w:style w:type="character" w:styleId="Hyperlink">
    <w:name w:val="Hyperlink"/>
    <w:uiPriority w:val="99"/>
    <w:unhideWhenUsed/>
    <w:rsid w:val="000955D5"/>
    <w:rPr>
      <w:color w:val="0563C1"/>
      <w:u w:val="single"/>
    </w:rPr>
  </w:style>
  <w:style w:type="character" w:styleId="UnresolvedMention">
    <w:name w:val="Unresolved Mention"/>
    <w:uiPriority w:val="99"/>
    <w:semiHidden/>
    <w:unhideWhenUsed/>
    <w:rsid w:val="003B26D5"/>
    <w:rPr>
      <w:color w:val="605E5C"/>
      <w:shd w:val="clear" w:color="auto" w:fill="E1DFDD"/>
    </w:rPr>
  </w:style>
  <w:style w:type="table" w:styleId="TableGrid">
    <w:name w:val="Table Grid"/>
    <w:basedOn w:val="TableNormal"/>
    <w:uiPriority w:val="59"/>
    <w:rsid w:val="00C128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4">
    <w:name w:val="Plain Table 4"/>
    <w:basedOn w:val="TableNormal"/>
    <w:uiPriority w:val="44"/>
    <w:rsid w:val="00C12857"/>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EndNoteBibliographyTitle">
    <w:name w:val="EndNote Bibliography Title"/>
    <w:basedOn w:val="Normal"/>
    <w:link w:val="EndNoteBibliographyTitle0"/>
    <w:rsid w:val="0006356D"/>
    <w:pPr>
      <w:spacing w:line="240" w:lineRule="auto"/>
      <w:jc w:val="center"/>
    </w:pPr>
    <w:rPr>
      <w:rFonts w:eastAsia="MS Mincho"/>
      <w:noProof/>
      <w:color w:val="auto"/>
      <w:szCs w:val="24"/>
      <w:lang w:eastAsia="ja-JP"/>
    </w:rPr>
  </w:style>
  <w:style w:type="character" w:customStyle="1" w:styleId="EndNoteBibliographyTitle0">
    <w:name w:val="EndNote Bibliography Title (文字)"/>
    <w:link w:val="EndNoteBibliographyTitle"/>
    <w:rsid w:val="0006356D"/>
    <w:rPr>
      <w:rFonts w:ascii="Times New Roman" w:eastAsia="MS Mincho" w:hAnsi="Times New Roman"/>
      <w:noProof/>
      <w:sz w:val="24"/>
      <w:szCs w:val="24"/>
      <w:lang w:eastAsia="ja-JP"/>
    </w:rPr>
  </w:style>
  <w:style w:type="paragraph" w:customStyle="1" w:styleId="EndNoteBibliography">
    <w:name w:val="EndNote Bibliography"/>
    <w:basedOn w:val="Normal"/>
    <w:link w:val="EndNoteBibliography0"/>
    <w:rsid w:val="0006356D"/>
    <w:pPr>
      <w:spacing w:line="240" w:lineRule="auto"/>
      <w:jc w:val="left"/>
    </w:pPr>
    <w:rPr>
      <w:rFonts w:eastAsia="MS Mincho"/>
      <w:noProof/>
      <w:color w:val="auto"/>
      <w:szCs w:val="24"/>
      <w:lang w:eastAsia="ja-JP"/>
    </w:rPr>
  </w:style>
  <w:style w:type="character" w:customStyle="1" w:styleId="EndNoteBibliography0">
    <w:name w:val="EndNote Bibliography (文字)"/>
    <w:link w:val="EndNoteBibliography"/>
    <w:rsid w:val="0006356D"/>
    <w:rPr>
      <w:rFonts w:ascii="Times New Roman" w:eastAsia="MS Mincho" w:hAnsi="Times New Roman"/>
      <w:noProof/>
      <w:sz w:val="24"/>
      <w:szCs w:val="24"/>
      <w:lang w:eastAsia="ja-JP"/>
    </w:rPr>
  </w:style>
  <w:style w:type="character" w:styleId="FollowedHyperlink">
    <w:name w:val="FollowedHyperlink"/>
    <w:uiPriority w:val="99"/>
    <w:semiHidden/>
    <w:unhideWhenUsed/>
    <w:rsid w:val="0006356D"/>
    <w:rPr>
      <w:color w:val="954F72"/>
      <w:u w:val="single"/>
    </w:rPr>
  </w:style>
  <w:style w:type="paragraph" w:styleId="Bibliography">
    <w:name w:val="Bibliography"/>
    <w:basedOn w:val="Normal"/>
    <w:next w:val="Normal"/>
    <w:uiPriority w:val="37"/>
    <w:semiHidden/>
    <w:unhideWhenUsed/>
    <w:rsid w:val="003172A7"/>
  </w:style>
  <w:style w:type="paragraph" w:styleId="BlockText">
    <w:name w:val="Block Text"/>
    <w:basedOn w:val="Normal"/>
    <w:uiPriority w:val="99"/>
    <w:semiHidden/>
    <w:unhideWhenUsed/>
    <w:rsid w:val="003172A7"/>
    <w:pPr>
      <w:spacing w:after="120"/>
      <w:ind w:left="1440" w:right="1440"/>
    </w:pPr>
  </w:style>
  <w:style w:type="paragraph" w:styleId="BodyText">
    <w:name w:val="Body Text"/>
    <w:basedOn w:val="Normal"/>
    <w:link w:val="BodyTextChar"/>
    <w:uiPriority w:val="99"/>
    <w:semiHidden/>
    <w:unhideWhenUsed/>
    <w:rsid w:val="003172A7"/>
    <w:pPr>
      <w:spacing w:after="120"/>
    </w:pPr>
  </w:style>
  <w:style w:type="character" w:customStyle="1" w:styleId="BodyTextChar">
    <w:name w:val="Body Text Char"/>
    <w:link w:val="BodyText"/>
    <w:uiPriority w:val="99"/>
    <w:semiHidden/>
    <w:rsid w:val="003172A7"/>
    <w:rPr>
      <w:rFonts w:ascii="Times New Roman" w:eastAsia="Times New Roman" w:hAnsi="Times New Roman"/>
      <w:color w:val="000000"/>
      <w:sz w:val="24"/>
      <w:lang w:eastAsia="de-DE"/>
    </w:rPr>
  </w:style>
  <w:style w:type="paragraph" w:styleId="BodyText2">
    <w:name w:val="Body Text 2"/>
    <w:basedOn w:val="Normal"/>
    <w:link w:val="BodyText2Char"/>
    <w:uiPriority w:val="99"/>
    <w:semiHidden/>
    <w:unhideWhenUsed/>
    <w:rsid w:val="003172A7"/>
    <w:pPr>
      <w:spacing w:after="120" w:line="480" w:lineRule="auto"/>
    </w:pPr>
  </w:style>
  <w:style w:type="character" w:customStyle="1" w:styleId="BodyText2Char">
    <w:name w:val="Body Text 2 Char"/>
    <w:link w:val="BodyText2"/>
    <w:uiPriority w:val="99"/>
    <w:semiHidden/>
    <w:rsid w:val="003172A7"/>
    <w:rPr>
      <w:rFonts w:ascii="Times New Roman" w:eastAsia="Times New Roman" w:hAnsi="Times New Roman"/>
      <w:color w:val="000000"/>
      <w:sz w:val="24"/>
      <w:lang w:eastAsia="de-DE"/>
    </w:rPr>
  </w:style>
  <w:style w:type="paragraph" w:styleId="BodyText3">
    <w:name w:val="Body Text 3"/>
    <w:basedOn w:val="Normal"/>
    <w:link w:val="BodyText3Char"/>
    <w:uiPriority w:val="99"/>
    <w:semiHidden/>
    <w:unhideWhenUsed/>
    <w:rsid w:val="003172A7"/>
    <w:pPr>
      <w:spacing w:after="120"/>
    </w:pPr>
    <w:rPr>
      <w:sz w:val="16"/>
      <w:szCs w:val="16"/>
    </w:rPr>
  </w:style>
  <w:style w:type="character" w:customStyle="1" w:styleId="BodyText3Char">
    <w:name w:val="Body Text 3 Char"/>
    <w:link w:val="BodyText3"/>
    <w:uiPriority w:val="99"/>
    <w:semiHidden/>
    <w:rsid w:val="003172A7"/>
    <w:rPr>
      <w:rFonts w:ascii="Times New Roman" w:eastAsia="Times New Roman" w:hAnsi="Times New Roman"/>
      <w:color w:val="000000"/>
      <w:sz w:val="16"/>
      <w:szCs w:val="16"/>
      <w:lang w:eastAsia="de-DE"/>
    </w:rPr>
  </w:style>
  <w:style w:type="paragraph" w:styleId="BodyTextFirstIndent">
    <w:name w:val="Body Text First Indent"/>
    <w:basedOn w:val="BodyText"/>
    <w:link w:val="BodyTextFirstIndentChar"/>
    <w:uiPriority w:val="99"/>
    <w:semiHidden/>
    <w:unhideWhenUsed/>
    <w:rsid w:val="003172A7"/>
    <w:pPr>
      <w:ind w:firstLine="210"/>
    </w:pPr>
  </w:style>
  <w:style w:type="character" w:customStyle="1" w:styleId="BodyTextFirstIndentChar">
    <w:name w:val="Body Text First Indent Char"/>
    <w:link w:val="BodyTextFirstIndent"/>
    <w:uiPriority w:val="99"/>
    <w:semiHidden/>
    <w:rsid w:val="003172A7"/>
    <w:rPr>
      <w:rFonts w:ascii="Times New Roman" w:eastAsia="Times New Roman" w:hAnsi="Times New Roman"/>
      <w:color w:val="000000"/>
      <w:sz w:val="24"/>
      <w:lang w:eastAsia="de-DE"/>
    </w:rPr>
  </w:style>
  <w:style w:type="paragraph" w:styleId="BodyTextIndent">
    <w:name w:val="Body Text Indent"/>
    <w:basedOn w:val="Normal"/>
    <w:link w:val="BodyTextIndentChar"/>
    <w:uiPriority w:val="99"/>
    <w:semiHidden/>
    <w:unhideWhenUsed/>
    <w:rsid w:val="003172A7"/>
    <w:pPr>
      <w:spacing w:after="120"/>
      <w:ind w:left="360"/>
    </w:pPr>
  </w:style>
  <w:style w:type="character" w:customStyle="1" w:styleId="BodyTextIndentChar">
    <w:name w:val="Body Text Indent Char"/>
    <w:link w:val="BodyTextIndent"/>
    <w:uiPriority w:val="99"/>
    <w:semiHidden/>
    <w:rsid w:val="003172A7"/>
    <w:rPr>
      <w:rFonts w:ascii="Times New Roman" w:eastAsia="Times New Roman" w:hAnsi="Times New Roman"/>
      <w:color w:val="000000"/>
      <w:sz w:val="24"/>
      <w:lang w:eastAsia="de-DE"/>
    </w:rPr>
  </w:style>
  <w:style w:type="paragraph" w:styleId="BodyTextFirstIndent2">
    <w:name w:val="Body Text First Indent 2"/>
    <w:basedOn w:val="BodyTextIndent"/>
    <w:link w:val="BodyTextFirstIndent2Char"/>
    <w:uiPriority w:val="99"/>
    <w:semiHidden/>
    <w:unhideWhenUsed/>
    <w:rsid w:val="003172A7"/>
    <w:pPr>
      <w:ind w:firstLine="210"/>
    </w:pPr>
  </w:style>
  <w:style w:type="character" w:customStyle="1" w:styleId="BodyTextFirstIndent2Char">
    <w:name w:val="Body Text First Indent 2 Char"/>
    <w:link w:val="BodyTextFirstIndent2"/>
    <w:uiPriority w:val="99"/>
    <w:semiHidden/>
    <w:rsid w:val="003172A7"/>
    <w:rPr>
      <w:rFonts w:ascii="Times New Roman" w:eastAsia="Times New Roman" w:hAnsi="Times New Roman"/>
      <w:color w:val="000000"/>
      <w:sz w:val="24"/>
      <w:lang w:eastAsia="de-DE"/>
    </w:rPr>
  </w:style>
  <w:style w:type="paragraph" w:styleId="BodyTextIndent2">
    <w:name w:val="Body Text Indent 2"/>
    <w:basedOn w:val="Normal"/>
    <w:link w:val="BodyTextIndent2Char"/>
    <w:uiPriority w:val="99"/>
    <w:semiHidden/>
    <w:unhideWhenUsed/>
    <w:rsid w:val="003172A7"/>
    <w:pPr>
      <w:spacing w:after="120" w:line="480" w:lineRule="auto"/>
      <w:ind w:left="360"/>
    </w:pPr>
  </w:style>
  <w:style w:type="character" w:customStyle="1" w:styleId="BodyTextIndent2Char">
    <w:name w:val="Body Text Indent 2 Char"/>
    <w:link w:val="BodyTextIndent2"/>
    <w:uiPriority w:val="99"/>
    <w:semiHidden/>
    <w:rsid w:val="003172A7"/>
    <w:rPr>
      <w:rFonts w:ascii="Times New Roman" w:eastAsia="Times New Roman" w:hAnsi="Times New Roman"/>
      <w:color w:val="000000"/>
      <w:sz w:val="24"/>
      <w:lang w:eastAsia="de-DE"/>
    </w:rPr>
  </w:style>
  <w:style w:type="paragraph" w:styleId="BodyTextIndent3">
    <w:name w:val="Body Text Indent 3"/>
    <w:basedOn w:val="Normal"/>
    <w:link w:val="BodyTextIndent3Char"/>
    <w:uiPriority w:val="99"/>
    <w:semiHidden/>
    <w:unhideWhenUsed/>
    <w:rsid w:val="003172A7"/>
    <w:pPr>
      <w:spacing w:after="120"/>
      <w:ind w:left="360"/>
    </w:pPr>
    <w:rPr>
      <w:sz w:val="16"/>
      <w:szCs w:val="16"/>
    </w:rPr>
  </w:style>
  <w:style w:type="character" w:customStyle="1" w:styleId="BodyTextIndent3Char">
    <w:name w:val="Body Text Indent 3 Char"/>
    <w:link w:val="BodyTextIndent3"/>
    <w:uiPriority w:val="99"/>
    <w:semiHidden/>
    <w:rsid w:val="003172A7"/>
    <w:rPr>
      <w:rFonts w:ascii="Times New Roman" w:eastAsia="Times New Roman" w:hAnsi="Times New Roman"/>
      <w:color w:val="000000"/>
      <w:sz w:val="16"/>
      <w:szCs w:val="16"/>
      <w:lang w:eastAsia="de-DE"/>
    </w:rPr>
  </w:style>
  <w:style w:type="paragraph" w:styleId="Caption">
    <w:name w:val="caption"/>
    <w:basedOn w:val="Normal"/>
    <w:next w:val="Normal"/>
    <w:uiPriority w:val="35"/>
    <w:semiHidden/>
    <w:unhideWhenUsed/>
    <w:qFormat/>
    <w:rsid w:val="003172A7"/>
    <w:rPr>
      <w:b/>
      <w:bCs/>
      <w:sz w:val="20"/>
    </w:rPr>
  </w:style>
  <w:style w:type="paragraph" w:styleId="Closing">
    <w:name w:val="Closing"/>
    <w:basedOn w:val="Normal"/>
    <w:link w:val="ClosingChar"/>
    <w:uiPriority w:val="99"/>
    <w:semiHidden/>
    <w:unhideWhenUsed/>
    <w:rsid w:val="003172A7"/>
    <w:pPr>
      <w:ind w:left="4320"/>
    </w:pPr>
  </w:style>
  <w:style w:type="character" w:customStyle="1" w:styleId="ClosingChar">
    <w:name w:val="Closing Char"/>
    <w:link w:val="Closing"/>
    <w:uiPriority w:val="99"/>
    <w:semiHidden/>
    <w:rsid w:val="003172A7"/>
    <w:rPr>
      <w:rFonts w:ascii="Times New Roman" w:eastAsia="Times New Roman" w:hAnsi="Times New Roman"/>
      <w:color w:val="000000"/>
      <w:sz w:val="24"/>
      <w:lang w:eastAsia="de-DE"/>
    </w:rPr>
  </w:style>
  <w:style w:type="paragraph" w:styleId="CommentText">
    <w:name w:val="annotation text"/>
    <w:basedOn w:val="Normal"/>
    <w:link w:val="CommentTextChar"/>
    <w:uiPriority w:val="99"/>
    <w:semiHidden/>
    <w:unhideWhenUsed/>
    <w:rsid w:val="003172A7"/>
    <w:rPr>
      <w:sz w:val="20"/>
    </w:rPr>
  </w:style>
  <w:style w:type="character" w:customStyle="1" w:styleId="CommentTextChar">
    <w:name w:val="Comment Text Char"/>
    <w:link w:val="CommentText"/>
    <w:uiPriority w:val="99"/>
    <w:semiHidden/>
    <w:rsid w:val="003172A7"/>
    <w:rPr>
      <w:rFonts w:ascii="Times New Roman" w:eastAsia="Times New Roman" w:hAnsi="Times New Roman"/>
      <w:color w:val="000000"/>
      <w:lang w:eastAsia="de-DE"/>
    </w:rPr>
  </w:style>
  <w:style w:type="paragraph" w:styleId="CommentSubject">
    <w:name w:val="annotation subject"/>
    <w:basedOn w:val="CommentText"/>
    <w:next w:val="CommentText"/>
    <w:link w:val="CommentSubjectChar"/>
    <w:uiPriority w:val="99"/>
    <w:semiHidden/>
    <w:unhideWhenUsed/>
    <w:rsid w:val="003172A7"/>
    <w:rPr>
      <w:b/>
      <w:bCs/>
    </w:rPr>
  </w:style>
  <w:style w:type="character" w:customStyle="1" w:styleId="CommentSubjectChar">
    <w:name w:val="Comment Subject Char"/>
    <w:link w:val="CommentSubject"/>
    <w:uiPriority w:val="99"/>
    <w:semiHidden/>
    <w:rsid w:val="003172A7"/>
    <w:rPr>
      <w:rFonts w:ascii="Times New Roman" w:eastAsia="Times New Roman" w:hAnsi="Times New Roman"/>
      <w:b/>
      <w:bCs/>
      <w:color w:val="000000"/>
      <w:lang w:eastAsia="de-DE"/>
    </w:rPr>
  </w:style>
  <w:style w:type="paragraph" w:styleId="Date">
    <w:name w:val="Date"/>
    <w:basedOn w:val="Normal"/>
    <w:next w:val="Normal"/>
    <w:link w:val="DateChar"/>
    <w:uiPriority w:val="99"/>
    <w:semiHidden/>
    <w:unhideWhenUsed/>
    <w:rsid w:val="003172A7"/>
  </w:style>
  <w:style w:type="character" w:customStyle="1" w:styleId="DateChar">
    <w:name w:val="Date Char"/>
    <w:link w:val="Date"/>
    <w:uiPriority w:val="99"/>
    <w:semiHidden/>
    <w:rsid w:val="003172A7"/>
    <w:rPr>
      <w:rFonts w:ascii="Times New Roman" w:eastAsia="Times New Roman" w:hAnsi="Times New Roman"/>
      <w:color w:val="000000"/>
      <w:sz w:val="24"/>
      <w:lang w:eastAsia="de-DE"/>
    </w:rPr>
  </w:style>
  <w:style w:type="paragraph" w:styleId="DocumentMap">
    <w:name w:val="Document Map"/>
    <w:basedOn w:val="Normal"/>
    <w:link w:val="DocumentMapChar"/>
    <w:uiPriority w:val="99"/>
    <w:semiHidden/>
    <w:unhideWhenUsed/>
    <w:rsid w:val="003172A7"/>
    <w:rPr>
      <w:rFonts w:ascii="Segoe UI" w:hAnsi="Segoe UI" w:cs="Segoe UI"/>
      <w:sz w:val="16"/>
      <w:szCs w:val="16"/>
    </w:rPr>
  </w:style>
  <w:style w:type="character" w:customStyle="1" w:styleId="DocumentMapChar">
    <w:name w:val="Document Map Char"/>
    <w:link w:val="DocumentMap"/>
    <w:uiPriority w:val="99"/>
    <w:semiHidden/>
    <w:rsid w:val="003172A7"/>
    <w:rPr>
      <w:rFonts w:ascii="Segoe UI" w:eastAsia="Times New Roman" w:hAnsi="Segoe UI" w:cs="Segoe UI"/>
      <w:color w:val="000000"/>
      <w:sz w:val="16"/>
      <w:szCs w:val="16"/>
      <w:lang w:eastAsia="de-DE"/>
    </w:rPr>
  </w:style>
  <w:style w:type="paragraph" w:styleId="E-mailSignature">
    <w:name w:val="E-mail Signature"/>
    <w:basedOn w:val="Normal"/>
    <w:link w:val="E-mailSignatureChar"/>
    <w:uiPriority w:val="99"/>
    <w:semiHidden/>
    <w:unhideWhenUsed/>
    <w:rsid w:val="003172A7"/>
  </w:style>
  <w:style w:type="character" w:customStyle="1" w:styleId="E-mailSignatureChar">
    <w:name w:val="E-mail Signature Char"/>
    <w:link w:val="E-mailSignature"/>
    <w:uiPriority w:val="99"/>
    <w:semiHidden/>
    <w:rsid w:val="003172A7"/>
    <w:rPr>
      <w:rFonts w:ascii="Times New Roman" w:eastAsia="Times New Roman" w:hAnsi="Times New Roman"/>
      <w:color w:val="000000"/>
      <w:sz w:val="24"/>
      <w:lang w:eastAsia="de-DE"/>
    </w:rPr>
  </w:style>
  <w:style w:type="paragraph" w:styleId="EndnoteText">
    <w:name w:val="endnote text"/>
    <w:basedOn w:val="Normal"/>
    <w:link w:val="EndnoteTextChar"/>
    <w:uiPriority w:val="99"/>
    <w:semiHidden/>
    <w:unhideWhenUsed/>
    <w:rsid w:val="003172A7"/>
    <w:rPr>
      <w:sz w:val="20"/>
    </w:rPr>
  </w:style>
  <w:style w:type="character" w:customStyle="1" w:styleId="EndnoteTextChar">
    <w:name w:val="Endnote Text Char"/>
    <w:link w:val="EndnoteText"/>
    <w:uiPriority w:val="99"/>
    <w:semiHidden/>
    <w:rsid w:val="003172A7"/>
    <w:rPr>
      <w:rFonts w:ascii="Times New Roman" w:eastAsia="Times New Roman" w:hAnsi="Times New Roman"/>
      <w:color w:val="000000"/>
      <w:lang w:eastAsia="de-DE"/>
    </w:rPr>
  </w:style>
  <w:style w:type="paragraph" w:styleId="EnvelopeAddress">
    <w:name w:val="envelope address"/>
    <w:basedOn w:val="Normal"/>
    <w:uiPriority w:val="99"/>
    <w:semiHidden/>
    <w:unhideWhenUsed/>
    <w:rsid w:val="003172A7"/>
    <w:pPr>
      <w:framePr w:w="7920" w:h="1980" w:hRule="exact" w:hSpace="180" w:wrap="auto" w:hAnchor="page" w:xAlign="center" w:yAlign="bottom"/>
      <w:ind w:left="2880"/>
    </w:pPr>
    <w:rPr>
      <w:rFonts w:ascii="Calibri Light" w:hAnsi="Calibri Light"/>
      <w:szCs w:val="24"/>
    </w:rPr>
  </w:style>
  <w:style w:type="paragraph" w:styleId="EnvelopeReturn">
    <w:name w:val="envelope return"/>
    <w:basedOn w:val="Normal"/>
    <w:uiPriority w:val="99"/>
    <w:semiHidden/>
    <w:unhideWhenUsed/>
    <w:rsid w:val="003172A7"/>
    <w:rPr>
      <w:rFonts w:ascii="Calibri Light" w:hAnsi="Calibri Light"/>
      <w:sz w:val="20"/>
    </w:rPr>
  </w:style>
  <w:style w:type="paragraph" w:styleId="FootnoteText">
    <w:name w:val="footnote text"/>
    <w:basedOn w:val="Normal"/>
    <w:link w:val="FootnoteTextChar"/>
    <w:uiPriority w:val="99"/>
    <w:semiHidden/>
    <w:unhideWhenUsed/>
    <w:rsid w:val="003172A7"/>
    <w:rPr>
      <w:sz w:val="20"/>
    </w:rPr>
  </w:style>
  <w:style w:type="character" w:customStyle="1" w:styleId="FootnoteTextChar">
    <w:name w:val="Footnote Text Char"/>
    <w:link w:val="FootnoteText"/>
    <w:uiPriority w:val="99"/>
    <w:semiHidden/>
    <w:rsid w:val="003172A7"/>
    <w:rPr>
      <w:rFonts w:ascii="Times New Roman" w:eastAsia="Times New Roman" w:hAnsi="Times New Roman"/>
      <w:color w:val="000000"/>
      <w:lang w:eastAsia="de-DE"/>
    </w:rPr>
  </w:style>
  <w:style w:type="character" w:customStyle="1" w:styleId="Heading1Char">
    <w:name w:val="Heading 1 Char"/>
    <w:link w:val="Heading1"/>
    <w:uiPriority w:val="9"/>
    <w:rsid w:val="003172A7"/>
    <w:rPr>
      <w:rFonts w:ascii="Calibri Light" w:eastAsia="Times New Roman" w:hAnsi="Calibri Light" w:cs="Times New Roman"/>
      <w:b/>
      <w:bCs/>
      <w:color w:val="000000"/>
      <w:kern w:val="32"/>
      <w:sz w:val="32"/>
      <w:szCs w:val="32"/>
      <w:lang w:eastAsia="de-DE"/>
    </w:rPr>
  </w:style>
  <w:style w:type="character" w:customStyle="1" w:styleId="Heading2Char">
    <w:name w:val="Heading 2 Char"/>
    <w:link w:val="Heading2"/>
    <w:uiPriority w:val="9"/>
    <w:semiHidden/>
    <w:rsid w:val="003172A7"/>
    <w:rPr>
      <w:rFonts w:ascii="Calibri Light" w:eastAsia="Times New Roman" w:hAnsi="Calibri Light" w:cs="Times New Roman"/>
      <w:b/>
      <w:bCs/>
      <w:i/>
      <w:iCs/>
      <w:color w:val="000000"/>
      <w:sz w:val="28"/>
      <w:szCs w:val="28"/>
      <w:lang w:eastAsia="de-DE"/>
    </w:rPr>
  </w:style>
  <w:style w:type="character" w:customStyle="1" w:styleId="Heading3Char">
    <w:name w:val="Heading 3 Char"/>
    <w:link w:val="Heading3"/>
    <w:uiPriority w:val="9"/>
    <w:semiHidden/>
    <w:rsid w:val="003172A7"/>
    <w:rPr>
      <w:rFonts w:ascii="Calibri Light" w:eastAsia="Times New Roman" w:hAnsi="Calibri Light" w:cs="Times New Roman"/>
      <w:b/>
      <w:bCs/>
      <w:color w:val="000000"/>
      <w:sz w:val="26"/>
      <w:szCs w:val="26"/>
      <w:lang w:eastAsia="de-DE"/>
    </w:rPr>
  </w:style>
  <w:style w:type="character" w:customStyle="1" w:styleId="Heading4Char">
    <w:name w:val="Heading 4 Char"/>
    <w:link w:val="Heading4"/>
    <w:uiPriority w:val="9"/>
    <w:semiHidden/>
    <w:rsid w:val="003172A7"/>
    <w:rPr>
      <w:rFonts w:ascii="Calibri" w:eastAsia="Times New Roman" w:hAnsi="Calibri" w:cs="Times New Roman"/>
      <w:b/>
      <w:bCs/>
      <w:color w:val="000000"/>
      <w:sz w:val="28"/>
      <w:szCs w:val="28"/>
      <w:lang w:eastAsia="de-DE"/>
    </w:rPr>
  </w:style>
  <w:style w:type="character" w:customStyle="1" w:styleId="Heading5Char">
    <w:name w:val="Heading 5 Char"/>
    <w:link w:val="Heading5"/>
    <w:uiPriority w:val="9"/>
    <w:semiHidden/>
    <w:rsid w:val="003172A7"/>
    <w:rPr>
      <w:rFonts w:ascii="Calibri" w:eastAsia="Times New Roman" w:hAnsi="Calibri" w:cs="Times New Roman"/>
      <w:b/>
      <w:bCs/>
      <w:i/>
      <w:iCs/>
      <w:color w:val="000000"/>
      <w:sz w:val="26"/>
      <w:szCs w:val="26"/>
      <w:lang w:eastAsia="de-DE"/>
    </w:rPr>
  </w:style>
  <w:style w:type="character" w:customStyle="1" w:styleId="Heading6Char">
    <w:name w:val="Heading 6 Char"/>
    <w:link w:val="Heading6"/>
    <w:uiPriority w:val="9"/>
    <w:semiHidden/>
    <w:rsid w:val="003172A7"/>
    <w:rPr>
      <w:rFonts w:ascii="Calibri" w:eastAsia="Times New Roman" w:hAnsi="Calibri" w:cs="Times New Roman"/>
      <w:b/>
      <w:bCs/>
      <w:color w:val="000000"/>
      <w:sz w:val="22"/>
      <w:szCs w:val="22"/>
      <w:lang w:eastAsia="de-DE"/>
    </w:rPr>
  </w:style>
  <w:style w:type="character" w:customStyle="1" w:styleId="Heading7Char">
    <w:name w:val="Heading 7 Char"/>
    <w:link w:val="Heading7"/>
    <w:uiPriority w:val="9"/>
    <w:semiHidden/>
    <w:rsid w:val="003172A7"/>
    <w:rPr>
      <w:rFonts w:ascii="Calibri" w:eastAsia="Times New Roman" w:hAnsi="Calibri" w:cs="Times New Roman"/>
      <w:color w:val="000000"/>
      <w:sz w:val="24"/>
      <w:szCs w:val="24"/>
      <w:lang w:eastAsia="de-DE"/>
    </w:rPr>
  </w:style>
  <w:style w:type="character" w:customStyle="1" w:styleId="Heading8Char">
    <w:name w:val="Heading 8 Char"/>
    <w:link w:val="Heading8"/>
    <w:uiPriority w:val="9"/>
    <w:semiHidden/>
    <w:rsid w:val="003172A7"/>
    <w:rPr>
      <w:rFonts w:ascii="Calibri" w:eastAsia="Times New Roman" w:hAnsi="Calibri" w:cs="Times New Roman"/>
      <w:i/>
      <w:iCs/>
      <w:color w:val="000000"/>
      <w:sz w:val="24"/>
      <w:szCs w:val="24"/>
      <w:lang w:eastAsia="de-DE"/>
    </w:rPr>
  </w:style>
  <w:style w:type="character" w:customStyle="1" w:styleId="Heading9Char">
    <w:name w:val="Heading 9 Char"/>
    <w:link w:val="Heading9"/>
    <w:uiPriority w:val="9"/>
    <w:semiHidden/>
    <w:rsid w:val="003172A7"/>
    <w:rPr>
      <w:rFonts w:ascii="Calibri Light" w:eastAsia="Times New Roman" w:hAnsi="Calibri Light" w:cs="Times New Roman"/>
      <w:color w:val="000000"/>
      <w:sz w:val="22"/>
      <w:szCs w:val="22"/>
      <w:lang w:eastAsia="de-DE"/>
    </w:rPr>
  </w:style>
  <w:style w:type="paragraph" w:styleId="HTMLAddress">
    <w:name w:val="HTML Address"/>
    <w:basedOn w:val="Normal"/>
    <w:link w:val="HTMLAddressChar"/>
    <w:uiPriority w:val="99"/>
    <w:semiHidden/>
    <w:unhideWhenUsed/>
    <w:rsid w:val="003172A7"/>
    <w:rPr>
      <w:i/>
      <w:iCs/>
    </w:rPr>
  </w:style>
  <w:style w:type="character" w:customStyle="1" w:styleId="HTMLAddressChar">
    <w:name w:val="HTML Address Char"/>
    <w:link w:val="HTMLAddress"/>
    <w:uiPriority w:val="99"/>
    <w:semiHidden/>
    <w:rsid w:val="003172A7"/>
    <w:rPr>
      <w:rFonts w:ascii="Times New Roman" w:eastAsia="Times New Roman" w:hAnsi="Times New Roman"/>
      <w:i/>
      <w:iCs/>
      <w:color w:val="000000"/>
      <w:sz w:val="24"/>
      <w:lang w:eastAsia="de-DE"/>
    </w:rPr>
  </w:style>
  <w:style w:type="paragraph" w:styleId="HTMLPreformatted">
    <w:name w:val="HTML Preformatted"/>
    <w:basedOn w:val="Normal"/>
    <w:link w:val="HTMLPreformattedChar"/>
    <w:uiPriority w:val="99"/>
    <w:semiHidden/>
    <w:unhideWhenUsed/>
    <w:rsid w:val="003172A7"/>
    <w:rPr>
      <w:rFonts w:ascii="Courier New" w:hAnsi="Courier New" w:cs="Courier New"/>
      <w:sz w:val="20"/>
    </w:rPr>
  </w:style>
  <w:style w:type="character" w:customStyle="1" w:styleId="HTMLPreformattedChar">
    <w:name w:val="HTML Preformatted Char"/>
    <w:link w:val="HTMLPreformatted"/>
    <w:uiPriority w:val="99"/>
    <w:semiHidden/>
    <w:rsid w:val="003172A7"/>
    <w:rPr>
      <w:rFonts w:ascii="Courier New" w:eastAsia="Times New Roman" w:hAnsi="Courier New" w:cs="Courier New"/>
      <w:color w:val="000000"/>
      <w:lang w:eastAsia="de-DE"/>
    </w:rPr>
  </w:style>
  <w:style w:type="paragraph" w:styleId="Index1">
    <w:name w:val="index 1"/>
    <w:basedOn w:val="Normal"/>
    <w:next w:val="Normal"/>
    <w:autoRedefine/>
    <w:uiPriority w:val="99"/>
    <w:semiHidden/>
    <w:unhideWhenUsed/>
    <w:rsid w:val="003172A7"/>
    <w:pPr>
      <w:ind w:left="240" w:hanging="240"/>
    </w:pPr>
  </w:style>
  <w:style w:type="paragraph" w:styleId="Index2">
    <w:name w:val="index 2"/>
    <w:basedOn w:val="Normal"/>
    <w:next w:val="Normal"/>
    <w:autoRedefine/>
    <w:uiPriority w:val="99"/>
    <w:semiHidden/>
    <w:unhideWhenUsed/>
    <w:rsid w:val="003172A7"/>
    <w:pPr>
      <w:ind w:left="480" w:hanging="240"/>
    </w:pPr>
  </w:style>
  <w:style w:type="paragraph" w:styleId="Index3">
    <w:name w:val="index 3"/>
    <w:basedOn w:val="Normal"/>
    <w:next w:val="Normal"/>
    <w:autoRedefine/>
    <w:uiPriority w:val="99"/>
    <w:semiHidden/>
    <w:unhideWhenUsed/>
    <w:rsid w:val="003172A7"/>
    <w:pPr>
      <w:ind w:left="720" w:hanging="240"/>
    </w:pPr>
  </w:style>
  <w:style w:type="paragraph" w:styleId="Index4">
    <w:name w:val="index 4"/>
    <w:basedOn w:val="Normal"/>
    <w:next w:val="Normal"/>
    <w:autoRedefine/>
    <w:uiPriority w:val="99"/>
    <w:semiHidden/>
    <w:unhideWhenUsed/>
    <w:rsid w:val="003172A7"/>
    <w:pPr>
      <w:ind w:left="960" w:hanging="240"/>
    </w:pPr>
  </w:style>
  <w:style w:type="paragraph" w:styleId="Index5">
    <w:name w:val="index 5"/>
    <w:basedOn w:val="Normal"/>
    <w:next w:val="Normal"/>
    <w:autoRedefine/>
    <w:uiPriority w:val="99"/>
    <w:semiHidden/>
    <w:unhideWhenUsed/>
    <w:rsid w:val="003172A7"/>
    <w:pPr>
      <w:ind w:left="1200" w:hanging="240"/>
    </w:pPr>
  </w:style>
  <w:style w:type="paragraph" w:styleId="Index6">
    <w:name w:val="index 6"/>
    <w:basedOn w:val="Normal"/>
    <w:next w:val="Normal"/>
    <w:autoRedefine/>
    <w:uiPriority w:val="99"/>
    <w:semiHidden/>
    <w:unhideWhenUsed/>
    <w:rsid w:val="003172A7"/>
    <w:pPr>
      <w:ind w:left="1440" w:hanging="240"/>
    </w:pPr>
  </w:style>
  <w:style w:type="paragraph" w:styleId="Index7">
    <w:name w:val="index 7"/>
    <w:basedOn w:val="Normal"/>
    <w:next w:val="Normal"/>
    <w:autoRedefine/>
    <w:uiPriority w:val="99"/>
    <w:semiHidden/>
    <w:unhideWhenUsed/>
    <w:rsid w:val="003172A7"/>
    <w:pPr>
      <w:ind w:left="1680" w:hanging="240"/>
    </w:pPr>
  </w:style>
  <w:style w:type="paragraph" w:styleId="Index8">
    <w:name w:val="index 8"/>
    <w:basedOn w:val="Normal"/>
    <w:next w:val="Normal"/>
    <w:autoRedefine/>
    <w:uiPriority w:val="99"/>
    <w:semiHidden/>
    <w:unhideWhenUsed/>
    <w:rsid w:val="003172A7"/>
    <w:pPr>
      <w:ind w:left="1920" w:hanging="240"/>
    </w:pPr>
  </w:style>
  <w:style w:type="paragraph" w:styleId="Index9">
    <w:name w:val="index 9"/>
    <w:basedOn w:val="Normal"/>
    <w:next w:val="Normal"/>
    <w:autoRedefine/>
    <w:uiPriority w:val="99"/>
    <w:semiHidden/>
    <w:unhideWhenUsed/>
    <w:rsid w:val="003172A7"/>
    <w:pPr>
      <w:ind w:left="2160" w:hanging="240"/>
    </w:pPr>
  </w:style>
  <w:style w:type="paragraph" w:styleId="IndexHeading">
    <w:name w:val="index heading"/>
    <w:basedOn w:val="Normal"/>
    <w:next w:val="Index1"/>
    <w:uiPriority w:val="99"/>
    <w:semiHidden/>
    <w:unhideWhenUsed/>
    <w:rsid w:val="003172A7"/>
    <w:rPr>
      <w:rFonts w:ascii="Calibri Light" w:hAnsi="Calibri Light"/>
      <w:b/>
      <w:bCs/>
    </w:rPr>
  </w:style>
  <w:style w:type="paragraph" w:styleId="IntenseQuote">
    <w:name w:val="Intense Quote"/>
    <w:basedOn w:val="Normal"/>
    <w:next w:val="Normal"/>
    <w:link w:val="IntenseQuoteChar"/>
    <w:uiPriority w:val="30"/>
    <w:qFormat/>
    <w:rsid w:val="003172A7"/>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3172A7"/>
    <w:rPr>
      <w:rFonts w:ascii="Times New Roman" w:eastAsia="Times New Roman" w:hAnsi="Times New Roman"/>
      <w:i/>
      <w:iCs/>
      <w:color w:val="4472C4"/>
      <w:sz w:val="24"/>
      <w:lang w:eastAsia="de-DE"/>
    </w:rPr>
  </w:style>
  <w:style w:type="paragraph" w:styleId="List">
    <w:name w:val="List"/>
    <w:basedOn w:val="Normal"/>
    <w:uiPriority w:val="99"/>
    <w:semiHidden/>
    <w:unhideWhenUsed/>
    <w:rsid w:val="003172A7"/>
    <w:pPr>
      <w:ind w:left="360" w:hanging="360"/>
      <w:contextualSpacing/>
    </w:pPr>
  </w:style>
  <w:style w:type="paragraph" w:styleId="List2">
    <w:name w:val="List 2"/>
    <w:basedOn w:val="Normal"/>
    <w:uiPriority w:val="99"/>
    <w:semiHidden/>
    <w:unhideWhenUsed/>
    <w:rsid w:val="003172A7"/>
    <w:pPr>
      <w:ind w:left="720" w:hanging="360"/>
      <w:contextualSpacing/>
    </w:pPr>
  </w:style>
  <w:style w:type="paragraph" w:styleId="List3">
    <w:name w:val="List 3"/>
    <w:basedOn w:val="Normal"/>
    <w:uiPriority w:val="99"/>
    <w:semiHidden/>
    <w:unhideWhenUsed/>
    <w:rsid w:val="003172A7"/>
    <w:pPr>
      <w:ind w:left="1080" w:hanging="360"/>
      <w:contextualSpacing/>
    </w:pPr>
  </w:style>
  <w:style w:type="paragraph" w:styleId="List4">
    <w:name w:val="List 4"/>
    <w:basedOn w:val="Normal"/>
    <w:uiPriority w:val="99"/>
    <w:semiHidden/>
    <w:unhideWhenUsed/>
    <w:rsid w:val="003172A7"/>
    <w:pPr>
      <w:ind w:left="1440" w:hanging="360"/>
      <w:contextualSpacing/>
    </w:pPr>
  </w:style>
  <w:style w:type="paragraph" w:styleId="List5">
    <w:name w:val="List 5"/>
    <w:basedOn w:val="Normal"/>
    <w:uiPriority w:val="99"/>
    <w:semiHidden/>
    <w:unhideWhenUsed/>
    <w:rsid w:val="003172A7"/>
    <w:pPr>
      <w:ind w:left="1800" w:hanging="360"/>
      <w:contextualSpacing/>
    </w:pPr>
  </w:style>
  <w:style w:type="paragraph" w:styleId="ListBullet">
    <w:name w:val="List Bullet"/>
    <w:basedOn w:val="Normal"/>
    <w:uiPriority w:val="99"/>
    <w:semiHidden/>
    <w:unhideWhenUsed/>
    <w:rsid w:val="003172A7"/>
    <w:pPr>
      <w:numPr>
        <w:numId w:val="6"/>
      </w:numPr>
      <w:contextualSpacing/>
    </w:pPr>
  </w:style>
  <w:style w:type="paragraph" w:styleId="ListBullet2">
    <w:name w:val="List Bullet 2"/>
    <w:basedOn w:val="Normal"/>
    <w:uiPriority w:val="99"/>
    <w:semiHidden/>
    <w:unhideWhenUsed/>
    <w:rsid w:val="003172A7"/>
    <w:pPr>
      <w:numPr>
        <w:numId w:val="7"/>
      </w:numPr>
      <w:contextualSpacing/>
    </w:pPr>
  </w:style>
  <w:style w:type="paragraph" w:styleId="ListBullet3">
    <w:name w:val="List Bullet 3"/>
    <w:basedOn w:val="Normal"/>
    <w:uiPriority w:val="99"/>
    <w:semiHidden/>
    <w:unhideWhenUsed/>
    <w:rsid w:val="003172A7"/>
    <w:pPr>
      <w:numPr>
        <w:numId w:val="8"/>
      </w:numPr>
      <w:contextualSpacing/>
    </w:pPr>
  </w:style>
  <w:style w:type="paragraph" w:styleId="ListBullet4">
    <w:name w:val="List Bullet 4"/>
    <w:basedOn w:val="Normal"/>
    <w:uiPriority w:val="99"/>
    <w:semiHidden/>
    <w:unhideWhenUsed/>
    <w:rsid w:val="003172A7"/>
    <w:pPr>
      <w:numPr>
        <w:numId w:val="9"/>
      </w:numPr>
      <w:contextualSpacing/>
    </w:pPr>
  </w:style>
  <w:style w:type="paragraph" w:styleId="ListBullet5">
    <w:name w:val="List Bullet 5"/>
    <w:basedOn w:val="Normal"/>
    <w:uiPriority w:val="99"/>
    <w:semiHidden/>
    <w:unhideWhenUsed/>
    <w:rsid w:val="003172A7"/>
    <w:pPr>
      <w:numPr>
        <w:numId w:val="10"/>
      </w:numPr>
      <w:contextualSpacing/>
    </w:pPr>
  </w:style>
  <w:style w:type="paragraph" w:styleId="ListContinue">
    <w:name w:val="List Continue"/>
    <w:basedOn w:val="Normal"/>
    <w:uiPriority w:val="99"/>
    <w:semiHidden/>
    <w:unhideWhenUsed/>
    <w:rsid w:val="003172A7"/>
    <w:pPr>
      <w:spacing w:after="120"/>
      <w:ind w:left="360"/>
      <w:contextualSpacing/>
    </w:pPr>
  </w:style>
  <w:style w:type="paragraph" w:styleId="ListContinue2">
    <w:name w:val="List Continue 2"/>
    <w:basedOn w:val="Normal"/>
    <w:uiPriority w:val="99"/>
    <w:semiHidden/>
    <w:unhideWhenUsed/>
    <w:rsid w:val="003172A7"/>
    <w:pPr>
      <w:spacing w:after="120"/>
      <w:ind w:left="720"/>
      <w:contextualSpacing/>
    </w:pPr>
  </w:style>
  <w:style w:type="paragraph" w:styleId="ListContinue3">
    <w:name w:val="List Continue 3"/>
    <w:basedOn w:val="Normal"/>
    <w:uiPriority w:val="99"/>
    <w:semiHidden/>
    <w:unhideWhenUsed/>
    <w:rsid w:val="003172A7"/>
    <w:pPr>
      <w:spacing w:after="120"/>
      <w:ind w:left="1080"/>
      <w:contextualSpacing/>
    </w:pPr>
  </w:style>
  <w:style w:type="paragraph" w:styleId="ListContinue4">
    <w:name w:val="List Continue 4"/>
    <w:basedOn w:val="Normal"/>
    <w:uiPriority w:val="99"/>
    <w:semiHidden/>
    <w:unhideWhenUsed/>
    <w:rsid w:val="003172A7"/>
    <w:pPr>
      <w:spacing w:after="120"/>
      <w:ind w:left="1440"/>
      <w:contextualSpacing/>
    </w:pPr>
  </w:style>
  <w:style w:type="paragraph" w:styleId="ListContinue5">
    <w:name w:val="List Continue 5"/>
    <w:basedOn w:val="Normal"/>
    <w:uiPriority w:val="99"/>
    <w:semiHidden/>
    <w:unhideWhenUsed/>
    <w:rsid w:val="003172A7"/>
    <w:pPr>
      <w:spacing w:after="120"/>
      <w:ind w:left="1800"/>
      <w:contextualSpacing/>
    </w:pPr>
  </w:style>
  <w:style w:type="paragraph" w:styleId="ListNumber">
    <w:name w:val="List Number"/>
    <w:basedOn w:val="Normal"/>
    <w:uiPriority w:val="99"/>
    <w:semiHidden/>
    <w:unhideWhenUsed/>
    <w:rsid w:val="003172A7"/>
    <w:pPr>
      <w:numPr>
        <w:numId w:val="11"/>
      </w:numPr>
      <w:contextualSpacing/>
    </w:pPr>
  </w:style>
  <w:style w:type="paragraph" w:styleId="ListNumber2">
    <w:name w:val="List Number 2"/>
    <w:basedOn w:val="Normal"/>
    <w:uiPriority w:val="99"/>
    <w:semiHidden/>
    <w:unhideWhenUsed/>
    <w:rsid w:val="003172A7"/>
    <w:pPr>
      <w:numPr>
        <w:numId w:val="12"/>
      </w:numPr>
      <w:contextualSpacing/>
    </w:pPr>
  </w:style>
  <w:style w:type="paragraph" w:styleId="ListNumber3">
    <w:name w:val="List Number 3"/>
    <w:basedOn w:val="Normal"/>
    <w:uiPriority w:val="99"/>
    <w:semiHidden/>
    <w:unhideWhenUsed/>
    <w:rsid w:val="003172A7"/>
    <w:pPr>
      <w:numPr>
        <w:numId w:val="13"/>
      </w:numPr>
      <w:contextualSpacing/>
    </w:pPr>
  </w:style>
  <w:style w:type="paragraph" w:styleId="ListNumber4">
    <w:name w:val="List Number 4"/>
    <w:basedOn w:val="Normal"/>
    <w:uiPriority w:val="99"/>
    <w:semiHidden/>
    <w:unhideWhenUsed/>
    <w:rsid w:val="003172A7"/>
    <w:pPr>
      <w:numPr>
        <w:numId w:val="14"/>
      </w:numPr>
      <w:contextualSpacing/>
    </w:pPr>
  </w:style>
  <w:style w:type="paragraph" w:styleId="ListNumber5">
    <w:name w:val="List Number 5"/>
    <w:basedOn w:val="Normal"/>
    <w:uiPriority w:val="99"/>
    <w:semiHidden/>
    <w:unhideWhenUsed/>
    <w:rsid w:val="003172A7"/>
    <w:pPr>
      <w:numPr>
        <w:numId w:val="15"/>
      </w:numPr>
      <w:contextualSpacing/>
    </w:pPr>
  </w:style>
  <w:style w:type="paragraph" w:styleId="ListParagraph">
    <w:name w:val="List Paragraph"/>
    <w:basedOn w:val="Normal"/>
    <w:uiPriority w:val="34"/>
    <w:qFormat/>
    <w:rsid w:val="003172A7"/>
    <w:pPr>
      <w:ind w:left="720"/>
    </w:pPr>
  </w:style>
  <w:style w:type="paragraph" w:styleId="MacroText">
    <w:name w:val="macro"/>
    <w:link w:val="MacroTextChar"/>
    <w:uiPriority w:val="99"/>
    <w:semiHidden/>
    <w:unhideWhenUsed/>
    <w:rsid w:val="003172A7"/>
    <w:pPr>
      <w:tabs>
        <w:tab w:val="left" w:pos="480"/>
        <w:tab w:val="left" w:pos="960"/>
        <w:tab w:val="left" w:pos="1440"/>
        <w:tab w:val="left" w:pos="1920"/>
        <w:tab w:val="left" w:pos="2400"/>
        <w:tab w:val="left" w:pos="2880"/>
        <w:tab w:val="left" w:pos="3360"/>
        <w:tab w:val="left" w:pos="3840"/>
        <w:tab w:val="left" w:pos="4320"/>
      </w:tabs>
      <w:spacing w:line="340" w:lineRule="atLeast"/>
      <w:jc w:val="both"/>
    </w:pPr>
    <w:rPr>
      <w:rFonts w:ascii="Courier New" w:eastAsia="Times New Roman" w:hAnsi="Courier New" w:cs="Courier New"/>
      <w:color w:val="000000"/>
      <w:lang w:eastAsia="de-DE"/>
    </w:rPr>
  </w:style>
  <w:style w:type="character" w:customStyle="1" w:styleId="MacroTextChar">
    <w:name w:val="Macro Text Char"/>
    <w:link w:val="MacroText"/>
    <w:uiPriority w:val="99"/>
    <w:semiHidden/>
    <w:rsid w:val="003172A7"/>
    <w:rPr>
      <w:rFonts w:ascii="Courier New" w:eastAsia="Times New Roman" w:hAnsi="Courier New" w:cs="Courier New"/>
      <w:color w:val="000000"/>
      <w:lang w:eastAsia="de-DE"/>
    </w:rPr>
  </w:style>
  <w:style w:type="paragraph" w:styleId="MessageHeader">
    <w:name w:val="Message Header"/>
    <w:basedOn w:val="Normal"/>
    <w:link w:val="MessageHeaderChar"/>
    <w:uiPriority w:val="99"/>
    <w:semiHidden/>
    <w:unhideWhenUsed/>
    <w:rsid w:val="003172A7"/>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hAnsi="Calibri Light"/>
      <w:szCs w:val="24"/>
    </w:rPr>
  </w:style>
  <w:style w:type="character" w:customStyle="1" w:styleId="MessageHeaderChar">
    <w:name w:val="Message Header Char"/>
    <w:link w:val="MessageHeader"/>
    <w:uiPriority w:val="99"/>
    <w:semiHidden/>
    <w:rsid w:val="003172A7"/>
    <w:rPr>
      <w:rFonts w:ascii="Calibri Light" w:eastAsia="Times New Roman" w:hAnsi="Calibri Light" w:cs="Times New Roman"/>
      <w:color w:val="000000"/>
      <w:sz w:val="24"/>
      <w:szCs w:val="24"/>
      <w:shd w:val="pct20" w:color="auto" w:fill="auto"/>
      <w:lang w:eastAsia="de-DE"/>
    </w:rPr>
  </w:style>
  <w:style w:type="paragraph" w:styleId="NoSpacing">
    <w:name w:val="No Spacing"/>
    <w:uiPriority w:val="1"/>
    <w:qFormat/>
    <w:rsid w:val="003172A7"/>
    <w:pPr>
      <w:jc w:val="both"/>
    </w:pPr>
    <w:rPr>
      <w:rFonts w:ascii="Times New Roman" w:eastAsia="Times New Roman" w:hAnsi="Times New Roman"/>
      <w:color w:val="000000"/>
      <w:sz w:val="24"/>
      <w:lang w:eastAsia="de-DE"/>
    </w:rPr>
  </w:style>
  <w:style w:type="paragraph" w:styleId="NormalWeb">
    <w:name w:val="Normal (Web)"/>
    <w:basedOn w:val="Normal"/>
    <w:uiPriority w:val="99"/>
    <w:semiHidden/>
    <w:unhideWhenUsed/>
    <w:rsid w:val="003172A7"/>
    <w:rPr>
      <w:szCs w:val="24"/>
    </w:rPr>
  </w:style>
  <w:style w:type="paragraph" w:styleId="NormalIndent">
    <w:name w:val="Normal Indent"/>
    <w:basedOn w:val="Normal"/>
    <w:uiPriority w:val="99"/>
    <w:semiHidden/>
    <w:unhideWhenUsed/>
    <w:rsid w:val="003172A7"/>
    <w:pPr>
      <w:ind w:left="720"/>
    </w:pPr>
  </w:style>
  <w:style w:type="paragraph" w:styleId="NoteHeading">
    <w:name w:val="Note Heading"/>
    <w:basedOn w:val="Normal"/>
    <w:next w:val="Normal"/>
    <w:link w:val="NoteHeadingChar"/>
    <w:uiPriority w:val="99"/>
    <w:semiHidden/>
    <w:unhideWhenUsed/>
    <w:rsid w:val="003172A7"/>
  </w:style>
  <w:style w:type="character" w:customStyle="1" w:styleId="NoteHeadingChar">
    <w:name w:val="Note Heading Char"/>
    <w:link w:val="NoteHeading"/>
    <w:uiPriority w:val="99"/>
    <w:semiHidden/>
    <w:rsid w:val="003172A7"/>
    <w:rPr>
      <w:rFonts w:ascii="Times New Roman" w:eastAsia="Times New Roman" w:hAnsi="Times New Roman"/>
      <w:color w:val="000000"/>
      <w:sz w:val="24"/>
      <w:lang w:eastAsia="de-DE"/>
    </w:rPr>
  </w:style>
  <w:style w:type="paragraph" w:styleId="PlainText">
    <w:name w:val="Plain Text"/>
    <w:basedOn w:val="Normal"/>
    <w:link w:val="PlainTextChar"/>
    <w:uiPriority w:val="99"/>
    <w:semiHidden/>
    <w:unhideWhenUsed/>
    <w:rsid w:val="003172A7"/>
    <w:rPr>
      <w:rFonts w:ascii="Courier New" w:hAnsi="Courier New" w:cs="Courier New"/>
      <w:sz w:val="20"/>
    </w:rPr>
  </w:style>
  <w:style w:type="character" w:customStyle="1" w:styleId="PlainTextChar">
    <w:name w:val="Plain Text Char"/>
    <w:link w:val="PlainText"/>
    <w:uiPriority w:val="99"/>
    <w:semiHidden/>
    <w:rsid w:val="003172A7"/>
    <w:rPr>
      <w:rFonts w:ascii="Courier New" w:eastAsia="Times New Roman" w:hAnsi="Courier New" w:cs="Courier New"/>
      <w:color w:val="000000"/>
      <w:lang w:eastAsia="de-DE"/>
    </w:rPr>
  </w:style>
  <w:style w:type="paragraph" w:styleId="Quote">
    <w:name w:val="Quote"/>
    <w:basedOn w:val="Normal"/>
    <w:next w:val="Normal"/>
    <w:link w:val="QuoteChar"/>
    <w:uiPriority w:val="29"/>
    <w:qFormat/>
    <w:rsid w:val="003172A7"/>
    <w:pPr>
      <w:spacing w:before="200" w:after="160"/>
      <w:ind w:left="864" w:right="864"/>
      <w:jc w:val="center"/>
    </w:pPr>
    <w:rPr>
      <w:i/>
      <w:iCs/>
      <w:color w:val="404040"/>
    </w:rPr>
  </w:style>
  <w:style w:type="character" w:customStyle="1" w:styleId="QuoteChar">
    <w:name w:val="Quote Char"/>
    <w:link w:val="Quote"/>
    <w:uiPriority w:val="29"/>
    <w:rsid w:val="003172A7"/>
    <w:rPr>
      <w:rFonts w:ascii="Times New Roman" w:eastAsia="Times New Roman" w:hAnsi="Times New Roman"/>
      <w:i/>
      <w:iCs/>
      <w:color w:val="404040"/>
      <w:sz w:val="24"/>
      <w:lang w:eastAsia="de-DE"/>
    </w:rPr>
  </w:style>
  <w:style w:type="paragraph" w:styleId="Salutation">
    <w:name w:val="Salutation"/>
    <w:basedOn w:val="Normal"/>
    <w:next w:val="Normal"/>
    <w:link w:val="SalutationChar"/>
    <w:uiPriority w:val="99"/>
    <w:semiHidden/>
    <w:unhideWhenUsed/>
    <w:rsid w:val="003172A7"/>
  </w:style>
  <w:style w:type="character" w:customStyle="1" w:styleId="SalutationChar">
    <w:name w:val="Salutation Char"/>
    <w:link w:val="Salutation"/>
    <w:uiPriority w:val="99"/>
    <w:semiHidden/>
    <w:rsid w:val="003172A7"/>
    <w:rPr>
      <w:rFonts w:ascii="Times New Roman" w:eastAsia="Times New Roman" w:hAnsi="Times New Roman"/>
      <w:color w:val="000000"/>
      <w:sz w:val="24"/>
      <w:lang w:eastAsia="de-DE"/>
    </w:rPr>
  </w:style>
  <w:style w:type="paragraph" w:styleId="Signature">
    <w:name w:val="Signature"/>
    <w:basedOn w:val="Normal"/>
    <w:link w:val="SignatureChar"/>
    <w:uiPriority w:val="99"/>
    <w:semiHidden/>
    <w:unhideWhenUsed/>
    <w:rsid w:val="003172A7"/>
    <w:pPr>
      <w:ind w:left="4320"/>
    </w:pPr>
  </w:style>
  <w:style w:type="character" w:customStyle="1" w:styleId="SignatureChar">
    <w:name w:val="Signature Char"/>
    <w:link w:val="Signature"/>
    <w:uiPriority w:val="99"/>
    <w:semiHidden/>
    <w:rsid w:val="003172A7"/>
    <w:rPr>
      <w:rFonts w:ascii="Times New Roman" w:eastAsia="Times New Roman" w:hAnsi="Times New Roman"/>
      <w:color w:val="000000"/>
      <w:sz w:val="24"/>
      <w:lang w:eastAsia="de-DE"/>
    </w:rPr>
  </w:style>
  <w:style w:type="paragraph" w:styleId="Subtitle">
    <w:name w:val="Subtitle"/>
    <w:basedOn w:val="Normal"/>
    <w:next w:val="Normal"/>
    <w:link w:val="SubtitleChar"/>
    <w:uiPriority w:val="11"/>
    <w:qFormat/>
    <w:rsid w:val="003172A7"/>
    <w:pPr>
      <w:spacing w:after="60"/>
      <w:jc w:val="center"/>
      <w:outlineLvl w:val="1"/>
    </w:pPr>
    <w:rPr>
      <w:rFonts w:ascii="Calibri Light" w:hAnsi="Calibri Light"/>
      <w:szCs w:val="24"/>
    </w:rPr>
  </w:style>
  <w:style w:type="character" w:customStyle="1" w:styleId="SubtitleChar">
    <w:name w:val="Subtitle Char"/>
    <w:link w:val="Subtitle"/>
    <w:uiPriority w:val="11"/>
    <w:rsid w:val="003172A7"/>
    <w:rPr>
      <w:rFonts w:ascii="Calibri Light" w:eastAsia="Times New Roman" w:hAnsi="Calibri Light" w:cs="Times New Roman"/>
      <w:color w:val="000000"/>
      <w:sz w:val="24"/>
      <w:szCs w:val="24"/>
      <w:lang w:eastAsia="de-DE"/>
    </w:rPr>
  </w:style>
  <w:style w:type="paragraph" w:styleId="TableofAuthorities">
    <w:name w:val="table of authorities"/>
    <w:basedOn w:val="Normal"/>
    <w:next w:val="Normal"/>
    <w:uiPriority w:val="99"/>
    <w:semiHidden/>
    <w:unhideWhenUsed/>
    <w:rsid w:val="003172A7"/>
    <w:pPr>
      <w:ind w:left="240" w:hanging="240"/>
    </w:pPr>
  </w:style>
  <w:style w:type="paragraph" w:styleId="TableofFigures">
    <w:name w:val="table of figures"/>
    <w:basedOn w:val="Normal"/>
    <w:next w:val="Normal"/>
    <w:uiPriority w:val="99"/>
    <w:semiHidden/>
    <w:unhideWhenUsed/>
    <w:rsid w:val="003172A7"/>
  </w:style>
  <w:style w:type="paragraph" w:styleId="Title">
    <w:name w:val="Title"/>
    <w:basedOn w:val="Normal"/>
    <w:next w:val="Normal"/>
    <w:link w:val="TitleChar"/>
    <w:uiPriority w:val="10"/>
    <w:qFormat/>
    <w:rsid w:val="003172A7"/>
    <w:pPr>
      <w:spacing w:before="240" w:after="60"/>
      <w:jc w:val="center"/>
      <w:outlineLvl w:val="0"/>
    </w:pPr>
    <w:rPr>
      <w:rFonts w:ascii="Calibri Light" w:hAnsi="Calibri Light"/>
      <w:b/>
      <w:bCs/>
      <w:kern w:val="28"/>
      <w:sz w:val="32"/>
      <w:szCs w:val="32"/>
    </w:rPr>
  </w:style>
  <w:style w:type="character" w:customStyle="1" w:styleId="TitleChar">
    <w:name w:val="Title Char"/>
    <w:link w:val="Title"/>
    <w:uiPriority w:val="10"/>
    <w:rsid w:val="003172A7"/>
    <w:rPr>
      <w:rFonts w:ascii="Calibri Light" w:eastAsia="Times New Roman" w:hAnsi="Calibri Light" w:cs="Times New Roman"/>
      <w:b/>
      <w:bCs/>
      <w:color w:val="000000"/>
      <w:kern w:val="28"/>
      <w:sz w:val="32"/>
      <w:szCs w:val="32"/>
      <w:lang w:eastAsia="de-DE"/>
    </w:rPr>
  </w:style>
  <w:style w:type="paragraph" w:styleId="TOAHeading">
    <w:name w:val="toa heading"/>
    <w:basedOn w:val="Normal"/>
    <w:next w:val="Normal"/>
    <w:uiPriority w:val="99"/>
    <w:semiHidden/>
    <w:unhideWhenUsed/>
    <w:rsid w:val="003172A7"/>
    <w:pPr>
      <w:spacing w:before="120"/>
    </w:pPr>
    <w:rPr>
      <w:rFonts w:ascii="Calibri Light" w:hAnsi="Calibri Light"/>
      <w:b/>
      <w:bCs/>
      <w:szCs w:val="24"/>
    </w:rPr>
  </w:style>
  <w:style w:type="paragraph" w:styleId="TOC1">
    <w:name w:val="toc 1"/>
    <w:basedOn w:val="Normal"/>
    <w:next w:val="Normal"/>
    <w:autoRedefine/>
    <w:uiPriority w:val="39"/>
    <w:semiHidden/>
    <w:unhideWhenUsed/>
    <w:rsid w:val="003172A7"/>
  </w:style>
  <w:style w:type="paragraph" w:styleId="TOC2">
    <w:name w:val="toc 2"/>
    <w:basedOn w:val="Normal"/>
    <w:next w:val="Normal"/>
    <w:autoRedefine/>
    <w:uiPriority w:val="39"/>
    <w:semiHidden/>
    <w:unhideWhenUsed/>
    <w:rsid w:val="003172A7"/>
    <w:pPr>
      <w:ind w:left="240"/>
    </w:pPr>
  </w:style>
  <w:style w:type="paragraph" w:styleId="TOC3">
    <w:name w:val="toc 3"/>
    <w:basedOn w:val="Normal"/>
    <w:next w:val="Normal"/>
    <w:autoRedefine/>
    <w:uiPriority w:val="39"/>
    <w:semiHidden/>
    <w:unhideWhenUsed/>
    <w:rsid w:val="003172A7"/>
    <w:pPr>
      <w:ind w:left="480"/>
    </w:pPr>
  </w:style>
  <w:style w:type="paragraph" w:styleId="TOC4">
    <w:name w:val="toc 4"/>
    <w:basedOn w:val="Normal"/>
    <w:next w:val="Normal"/>
    <w:autoRedefine/>
    <w:uiPriority w:val="39"/>
    <w:semiHidden/>
    <w:unhideWhenUsed/>
    <w:rsid w:val="003172A7"/>
    <w:pPr>
      <w:ind w:left="720"/>
    </w:pPr>
  </w:style>
  <w:style w:type="paragraph" w:styleId="TOC5">
    <w:name w:val="toc 5"/>
    <w:basedOn w:val="Normal"/>
    <w:next w:val="Normal"/>
    <w:autoRedefine/>
    <w:uiPriority w:val="39"/>
    <w:semiHidden/>
    <w:unhideWhenUsed/>
    <w:rsid w:val="003172A7"/>
    <w:pPr>
      <w:ind w:left="960"/>
    </w:pPr>
  </w:style>
  <w:style w:type="paragraph" w:styleId="TOC6">
    <w:name w:val="toc 6"/>
    <w:basedOn w:val="Normal"/>
    <w:next w:val="Normal"/>
    <w:autoRedefine/>
    <w:uiPriority w:val="39"/>
    <w:semiHidden/>
    <w:unhideWhenUsed/>
    <w:rsid w:val="003172A7"/>
    <w:pPr>
      <w:ind w:left="1200"/>
    </w:pPr>
  </w:style>
  <w:style w:type="paragraph" w:styleId="TOC7">
    <w:name w:val="toc 7"/>
    <w:basedOn w:val="Normal"/>
    <w:next w:val="Normal"/>
    <w:autoRedefine/>
    <w:uiPriority w:val="39"/>
    <w:semiHidden/>
    <w:unhideWhenUsed/>
    <w:rsid w:val="003172A7"/>
    <w:pPr>
      <w:ind w:left="1440"/>
    </w:pPr>
  </w:style>
  <w:style w:type="paragraph" w:styleId="TOC8">
    <w:name w:val="toc 8"/>
    <w:basedOn w:val="Normal"/>
    <w:next w:val="Normal"/>
    <w:autoRedefine/>
    <w:uiPriority w:val="39"/>
    <w:semiHidden/>
    <w:unhideWhenUsed/>
    <w:rsid w:val="003172A7"/>
    <w:pPr>
      <w:ind w:left="1680"/>
    </w:pPr>
  </w:style>
  <w:style w:type="paragraph" w:styleId="TOC9">
    <w:name w:val="toc 9"/>
    <w:basedOn w:val="Normal"/>
    <w:next w:val="Normal"/>
    <w:autoRedefine/>
    <w:uiPriority w:val="39"/>
    <w:semiHidden/>
    <w:unhideWhenUsed/>
    <w:rsid w:val="003172A7"/>
    <w:pPr>
      <w:ind w:left="1920"/>
    </w:pPr>
  </w:style>
  <w:style w:type="paragraph" w:styleId="TOCHeading">
    <w:name w:val="TOC Heading"/>
    <w:basedOn w:val="Heading1"/>
    <w:next w:val="Normal"/>
    <w:uiPriority w:val="39"/>
    <w:semiHidden/>
    <w:unhideWhenUsed/>
    <w:qFormat/>
    <w:rsid w:val="003172A7"/>
    <w:pPr>
      <w:outlineLvl w:val="9"/>
    </w:pPr>
  </w:style>
  <w:style w:type="character" w:styleId="CommentReference">
    <w:name w:val="annotation reference"/>
    <w:uiPriority w:val="99"/>
    <w:semiHidden/>
    <w:unhideWhenUsed/>
    <w:rsid w:val="00414297"/>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66553951">
      <w:bodyDiv w:val="1"/>
      <w:marLeft w:val="0"/>
      <w:marRight w:val="0"/>
      <w:marTop w:val="0"/>
      <w:marBottom w:val="0"/>
      <w:divBdr>
        <w:top w:val="none" w:sz="0" w:space="0" w:color="auto"/>
        <w:left w:val="none" w:sz="0" w:space="0" w:color="auto"/>
        <w:bottom w:val="none" w:sz="0" w:space="0" w:color="auto"/>
        <w:right w:val="none" w:sz="0" w:space="0" w:color="auto"/>
      </w:divBdr>
    </w:div>
  </w:divs>
  <w:encoding w:val="iso-8859-6"/>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header" Target="header3.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2.xm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4.png"/><Relationship Id="rId19"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_rels/header3.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corr\Downloads\jcdd-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jcdd-template</Template>
  <TotalTime>14</TotalTime>
  <Pages>7</Pages>
  <Words>1440</Words>
  <Characters>7200</Characters>
  <Application>Microsoft Office Word</Application>
  <DocSecurity>0</DocSecurity>
  <Lines>288</Lines>
  <Paragraphs>210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8430</CharactersWithSpaces>
  <SharedDoc>false</SharedDoc>
  <HLinks>
    <vt:vector size="6" baseType="variant">
      <vt:variant>
        <vt:i4>6094915</vt:i4>
      </vt:variant>
      <vt:variant>
        <vt:i4>0</vt:i4>
      </vt:variant>
      <vt:variant>
        <vt:i4>0</vt:i4>
      </vt:variant>
      <vt:variant>
        <vt:i4>5</vt:i4>
      </vt:variant>
      <vt:variant>
        <vt:lpwstr>http://img.mdpi.org/data/contributor-role-instruction.pdf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Karen Ocorr</dc:creator>
  <cp:keywords/>
  <dc:description/>
  <cp:lastModifiedBy>MDPI-66</cp:lastModifiedBy>
  <cp:revision>12</cp:revision>
  <cp:lastPrinted>2020-05-09T18:59:00Z</cp:lastPrinted>
  <dcterms:created xsi:type="dcterms:W3CDTF">2020-05-28T16:58:00Z</dcterms:created>
  <dcterms:modified xsi:type="dcterms:W3CDTF">2020-06-02T10:55:00Z</dcterms:modified>
</cp:coreProperties>
</file>