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FFCB1" w14:textId="77777777" w:rsidR="007210D0" w:rsidRDefault="007210D0" w:rsidP="00FC38D2">
      <w:pPr>
        <w:jc w:val="both"/>
        <w:rPr>
          <w:rFonts w:ascii="Palatino Linotype" w:hAnsi="Palatino Linotype"/>
          <w:sz w:val="20"/>
          <w:szCs w:val="20"/>
        </w:rPr>
      </w:pPr>
      <w:r w:rsidRPr="00BE0CC7">
        <w:rPr>
          <w:rFonts w:ascii="Palatino Linotype" w:hAnsi="Palatino Linotype"/>
          <w:b/>
          <w:bCs/>
          <w:sz w:val="20"/>
          <w:szCs w:val="20"/>
        </w:rPr>
        <w:t>Figure S</w:t>
      </w:r>
      <w:r>
        <w:rPr>
          <w:rFonts w:ascii="Palatino Linotype" w:hAnsi="Palatino Linotype"/>
          <w:b/>
          <w:bCs/>
          <w:sz w:val="20"/>
          <w:szCs w:val="20"/>
        </w:rPr>
        <w:t>1</w:t>
      </w:r>
      <w:r w:rsidRPr="00BE0CC7">
        <w:rPr>
          <w:rFonts w:ascii="Palatino Linotype" w:hAnsi="Palatino Linotype"/>
          <w:b/>
          <w:bCs/>
          <w:sz w:val="20"/>
          <w:szCs w:val="20"/>
        </w:rPr>
        <w:t>.</w:t>
      </w:r>
      <w:r>
        <w:rPr>
          <w:rFonts w:ascii="Palatino Linotype" w:hAnsi="Palatino Linotype"/>
          <w:sz w:val="20"/>
          <w:szCs w:val="20"/>
        </w:rPr>
        <w:t xml:space="preserve"> Quality control of designed primers. </w:t>
      </w:r>
    </w:p>
    <w:p w14:paraId="464DD5D0" w14:textId="77777777" w:rsidR="007210D0" w:rsidRDefault="007210D0" w:rsidP="00FC38D2">
      <w:pPr>
        <w:jc w:val="both"/>
        <w:rPr>
          <w:rFonts w:ascii="Palatino Linotype" w:hAnsi="Palatino Linotype"/>
          <w:sz w:val="20"/>
          <w:szCs w:val="20"/>
        </w:rPr>
      </w:pPr>
      <w:r w:rsidRPr="00BE0CC7">
        <w:rPr>
          <w:rFonts w:ascii="Palatino Linotype" w:hAnsi="Palatino Linotype"/>
          <w:sz w:val="20"/>
          <w:szCs w:val="20"/>
        </w:rPr>
        <w:t xml:space="preserve">Circles, Results with serial 10-fold dilutions of a standard. Each concentration run in triplicate and Ct for the triplicate determinations are plotted. Triangles, two uninfected cecum samples, run in triplicate. All </w:t>
      </w:r>
      <w:r>
        <w:rPr>
          <w:rFonts w:ascii="Palatino Linotype" w:hAnsi="Palatino Linotype"/>
          <w:sz w:val="20"/>
          <w:szCs w:val="20"/>
        </w:rPr>
        <w:t xml:space="preserve">uninfected samples </w:t>
      </w:r>
      <w:r w:rsidRPr="00BE0CC7">
        <w:rPr>
          <w:rFonts w:ascii="Palatino Linotype" w:hAnsi="Palatino Linotype"/>
          <w:sz w:val="20"/>
          <w:szCs w:val="20"/>
        </w:rPr>
        <w:t>except one sample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BE0CC7">
        <w:rPr>
          <w:rFonts w:ascii="Palatino Linotype" w:hAnsi="Palatino Linotype"/>
          <w:sz w:val="20"/>
          <w:szCs w:val="20"/>
        </w:rPr>
        <w:t xml:space="preserve">gave no signal detected after 45 cycles. One </w:t>
      </w:r>
      <w:r>
        <w:rPr>
          <w:rFonts w:ascii="Palatino Linotype" w:hAnsi="Palatino Linotype"/>
          <w:sz w:val="20"/>
          <w:szCs w:val="20"/>
        </w:rPr>
        <w:t xml:space="preserve">uninfected </w:t>
      </w:r>
      <w:r w:rsidRPr="00BE0CC7">
        <w:rPr>
          <w:rFonts w:ascii="Palatino Linotype" w:hAnsi="Palatino Linotype"/>
          <w:sz w:val="20"/>
          <w:szCs w:val="20"/>
        </w:rPr>
        <w:t xml:space="preserve">sample for </w:t>
      </w:r>
      <w:proofErr w:type="spellStart"/>
      <w:r w:rsidRPr="00BE0CC7">
        <w:rPr>
          <w:rFonts w:ascii="Palatino Linotype" w:hAnsi="Palatino Linotype"/>
          <w:i/>
          <w:iCs/>
          <w:sz w:val="20"/>
          <w:szCs w:val="20"/>
        </w:rPr>
        <w:t>clpB</w:t>
      </w:r>
      <w:proofErr w:type="spellEnd"/>
      <w:r w:rsidRPr="00BE0CC7">
        <w:rPr>
          <w:rFonts w:ascii="Palatino Linotype" w:hAnsi="Palatino Linotype"/>
          <w:sz w:val="20"/>
          <w:szCs w:val="20"/>
        </w:rPr>
        <w:t xml:space="preserve"> gave signal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BE0CC7">
        <w:rPr>
          <w:rFonts w:ascii="Palatino Linotype" w:hAnsi="Palatino Linotype"/>
          <w:sz w:val="20"/>
          <w:szCs w:val="20"/>
        </w:rPr>
        <w:t>with Ct = 42.</w:t>
      </w:r>
    </w:p>
    <w:p w14:paraId="3310594A" w14:textId="77777777" w:rsidR="007210D0" w:rsidRPr="00455892" w:rsidRDefault="007210D0" w:rsidP="00FC38D2">
      <w:pPr>
        <w:jc w:val="both"/>
        <w:rPr>
          <w:rFonts w:ascii="Palatino Linotype" w:hAnsi="Palatino Linotype"/>
          <w:sz w:val="20"/>
          <w:szCs w:val="20"/>
        </w:rPr>
      </w:pPr>
    </w:p>
    <w:p w14:paraId="153E45BA" w14:textId="77777777" w:rsidR="00EC2474" w:rsidRPr="009548E4" w:rsidRDefault="00EC2474" w:rsidP="00FC38D2">
      <w:pPr>
        <w:pStyle w:val="MDPI31text"/>
        <w:ind w:firstLine="0"/>
      </w:pPr>
      <w:r w:rsidRPr="009548E4">
        <w:rPr>
          <w:b/>
          <w:bCs/>
        </w:rPr>
        <w:t>Figure S</w:t>
      </w:r>
      <w:r w:rsidR="007210D0">
        <w:rPr>
          <w:b/>
          <w:bCs/>
        </w:rPr>
        <w:t>2</w:t>
      </w:r>
      <w:r w:rsidRPr="009548E4">
        <w:rPr>
          <w:b/>
          <w:bCs/>
        </w:rPr>
        <w:t xml:space="preserve">. </w:t>
      </w:r>
      <w:r w:rsidRPr="009548E4">
        <w:t>Pre-amplification increases sensitivity of detection.</w:t>
      </w:r>
    </w:p>
    <w:p w14:paraId="11059BE2" w14:textId="77777777" w:rsidR="00EC2474" w:rsidRDefault="00EC2474" w:rsidP="00FC38D2">
      <w:pPr>
        <w:pStyle w:val="MDPI31text"/>
        <w:ind w:firstLine="0"/>
      </w:pPr>
      <w:r w:rsidRPr="009548E4">
        <w:t xml:space="preserve">cDNA samples from </w:t>
      </w:r>
      <w:r w:rsidRPr="009548E4">
        <w:rPr>
          <w:i/>
          <w:iCs/>
        </w:rPr>
        <w:t>C. difficile</w:t>
      </w:r>
      <w:r w:rsidRPr="009548E4">
        <w:t xml:space="preserve"> cells grown in laboratory culture were diluted to produce a sample with weak signal. This sample was then serially diluted in 4-fold steps and half of each diluted sample was pre-amplified with one PCR primer for 12 cycles. The remaining half was unamplified and diluted to the same concentration as the pre-amplified half. The samples were then analyzed in triplicate by standard </w:t>
      </w:r>
      <w:proofErr w:type="spellStart"/>
      <w:r w:rsidRPr="009548E4">
        <w:t>qRT</w:t>
      </w:r>
      <w:proofErr w:type="spellEnd"/>
      <w:r w:rsidRPr="009548E4">
        <w:t xml:space="preserve"> PCR for 45 cycles. The Ct for each of the triplicates is plotted. Open triangles indicate samples where no signal was detected. The R</w:t>
      </w:r>
      <w:r w:rsidRPr="009548E4">
        <w:rPr>
          <w:vertAlign w:val="superscript"/>
        </w:rPr>
        <w:t>2</w:t>
      </w:r>
      <w:r w:rsidRPr="009548E4">
        <w:t xml:space="preserve"> for each sample set is shown, indicating that the pre-amplified samples maintained their quantitative relationship and the sensitivity of detection was improved. One experiment representative of 3 experimental trials is shown.</w:t>
      </w:r>
    </w:p>
    <w:p w14:paraId="1F39E021" w14:textId="77777777" w:rsidR="00EC2474" w:rsidRPr="009548E4" w:rsidRDefault="00EC2474" w:rsidP="00FC38D2">
      <w:pPr>
        <w:pStyle w:val="MDPI31text"/>
        <w:ind w:firstLine="0"/>
      </w:pPr>
    </w:p>
    <w:p w14:paraId="0A582038" w14:textId="77777777" w:rsidR="00D37B2A" w:rsidRPr="00632ECA" w:rsidRDefault="00D37B2A" w:rsidP="00FC38D2">
      <w:pPr>
        <w:pStyle w:val="MDPI31text"/>
        <w:ind w:firstLine="0"/>
      </w:pPr>
      <w:r w:rsidRPr="00632ECA">
        <w:rPr>
          <w:b/>
          <w:bCs/>
        </w:rPr>
        <w:t>Figure S</w:t>
      </w:r>
      <w:r w:rsidR="007210D0">
        <w:rPr>
          <w:b/>
          <w:bCs/>
        </w:rPr>
        <w:t>3</w:t>
      </w:r>
      <w:r w:rsidRPr="00632ECA">
        <w:rPr>
          <w:b/>
          <w:bCs/>
        </w:rPr>
        <w:t>.</w:t>
      </w:r>
      <w:r>
        <w:t xml:space="preserve"> </w:t>
      </w:r>
      <w:r w:rsidRPr="00632ECA">
        <w:rPr>
          <w:i/>
          <w:iCs/>
        </w:rPr>
        <w:t>C. albicans</w:t>
      </w:r>
      <w:r w:rsidRPr="00632ECA">
        <w:t xml:space="preserve"> colonization.</w:t>
      </w:r>
      <w:r>
        <w:t xml:space="preserve"> </w:t>
      </w:r>
      <w:r w:rsidRPr="00632ECA">
        <w:rPr>
          <w:i/>
          <w:iCs/>
        </w:rPr>
        <w:t xml:space="preserve">C. albicans </w:t>
      </w:r>
      <w:r w:rsidRPr="00632ECA">
        <w:t>CFU/gm in fecal pellets collected from mice 17 days</w:t>
      </w:r>
    </w:p>
    <w:p w14:paraId="71D8A9BB" w14:textId="77777777" w:rsidR="00D37B2A" w:rsidRDefault="00D37B2A" w:rsidP="00FC38D2">
      <w:pPr>
        <w:pStyle w:val="MDPI31text"/>
        <w:ind w:firstLine="0"/>
      </w:pPr>
      <w:r w:rsidRPr="00632ECA">
        <w:t xml:space="preserve">post-inoculation with </w:t>
      </w:r>
      <w:r w:rsidRPr="00632ECA">
        <w:rPr>
          <w:i/>
          <w:iCs/>
        </w:rPr>
        <w:t xml:space="preserve">C. albicans. </w:t>
      </w:r>
      <w:r w:rsidR="00671A22" w:rsidRPr="00671A22">
        <w:t xml:space="preserve">Fresh fecal pellets were collected from each mouse, homogenized in PBS and plated on YPD-SA agar medium to </w:t>
      </w:r>
      <w:proofErr w:type="spellStart"/>
      <w:r w:rsidR="00671A22" w:rsidRPr="00671A22">
        <w:t>emumerate</w:t>
      </w:r>
      <w:proofErr w:type="spellEnd"/>
      <w:r w:rsidR="00671A22" w:rsidRPr="00671A22">
        <w:t xml:space="preserve"> C. albicans CFU</w:t>
      </w:r>
      <w:r w:rsidR="00671A22" w:rsidRPr="00671A22">
        <w:rPr>
          <w:i/>
          <w:iCs/>
        </w:rPr>
        <w:t xml:space="preserve">. </w:t>
      </w:r>
      <w:r w:rsidRPr="00632ECA">
        <w:t>Each symbol shows results</w:t>
      </w:r>
      <w:r>
        <w:t xml:space="preserve"> </w:t>
      </w:r>
      <w:r w:rsidRPr="00632ECA">
        <w:t>from an individual mouse and the bar indicates the geometric</w:t>
      </w:r>
      <w:r>
        <w:t xml:space="preserve"> </w:t>
      </w:r>
      <w:r w:rsidRPr="00632ECA">
        <w:t>mean. Open symbol indicates colonization below the limit of</w:t>
      </w:r>
      <w:r>
        <w:t xml:space="preserve"> </w:t>
      </w:r>
      <w:r w:rsidRPr="00632ECA">
        <w:t>detection.</w:t>
      </w:r>
    </w:p>
    <w:p w14:paraId="1FF45D47" w14:textId="77777777" w:rsidR="00D37B2A" w:rsidRPr="00632ECA" w:rsidRDefault="00D37B2A" w:rsidP="00FC38D2">
      <w:pPr>
        <w:pStyle w:val="MDPI31text"/>
        <w:ind w:firstLine="0"/>
      </w:pPr>
    </w:p>
    <w:p w14:paraId="7CAB2775" w14:textId="77777777" w:rsidR="00D37B2A" w:rsidRPr="009548E4" w:rsidRDefault="007E7AA5" w:rsidP="00FC38D2">
      <w:pPr>
        <w:pStyle w:val="MDPI31text"/>
        <w:ind w:firstLine="0"/>
      </w:pPr>
      <w:r w:rsidRPr="009548E4">
        <w:rPr>
          <w:b/>
          <w:bCs/>
        </w:rPr>
        <w:t>Figure S</w:t>
      </w:r>
      <w:r w:rsidR="007210D0">
        <w:rPr>
          <w:b/>
          <w:bCs/>
        </w:rPr>
        <w:t>4</w:t>
      </w:r>
      <w:r w:rsidRPr="009548E4">
        <w:rPr>
          <w:b/>
          <w:bCs/>
        </w:rPr>
        <w:t>.</w:t>
      </w:r>
      <w:r w:rsidRPr="009548E4">
        <w:t xml:space="preserve"> Relative weight of mice after receiving olive oil for 6 days.</w:t>
      </w:r>
    </w:p>
    <w:p w14:paraId="4D15BC53" w14:textId="77777777" w:rsidR="007E7AA5" w:rsidRPr="009548E4" w:rsidRDefault="007E7AA5" w:rsidP="00FC38D2">
      <w:pPr>
        <w:pStyle w:val="MDPI31text"/>
        <w:ind w:firstLine="0"/>
      </w:pPr>
      <w:r w:rsidRPr="009548E4">
        <w:t xml:space="preserve">Mice were treated as in </w:t>
      </w:r>
      <w:r w:rsidRPr="000C5564">
        <w:t>Figure 2A</w:t>
      </w:r>
      <w:r w:rsidRPr="009548E4">
        <w:t>. On the first day of olive oil or PBS feeding, mice were weighed prior to feeding. Mice were weighed every other day during feeding and their relative weights after 6 days of feeding is shown. Each symbol indicates an individual mouse and the bar indicates the average.</w:t>
      </w:r>
      <w:r>
        <w:t xml:space="preserve"> Circles, antibiotic-treated, uncolonized; triangles, antibiotic-treated, </w:t>
      </w:r>
      <w:r w:rsidRPr="0041415E">
        <w:rPr>
          <w:i/>
        </w:rPr>
        <w:t>C. albicans</w:t>
      </w:r>
      <w:r>
        <w:rPr>
          <w:i/>
        </w:rPr>
        <w:t>-</w:t>
      </w:r>
      <w:r w:rsidRPr="0041415E">
        <w:t>colonized</w:t>
      </w:r>
      <w:r>
        <w:t>.</w:t>
      </w:r>
    </w:p>
    <w:p w14:paraId="55E689B4" w14:textId="77777777" w:rsidR="007E7AA5" w:rsidRPr="009548E4" w:rsidRDefault="007E7AA5" w:rsidP="00FC38D2">
      <w:pPr>
        <w:pStyle w:val="MDPI31text"/>
        <w:ind w:firstLine="0"/>
        <w:rPr>
          <w:u w:val="single"/>
        </w:rPr>
      </w:pPr>
    </w:p>
    <w:p w14:paraId="083D9829" w14:textId="77777777" w:rsidR="00D37B2A" w:rsidRDefault="00D37B2A" w:rsidP="00FC38D2">
      <w:pPr>
        <w:pStyle w:val="MDPI31text"/>
        <w:ind w:firstLine="0"/>
      </w:pPr>
      <w:r w:rsidRPr="009548E4">
        <w:rPr>
          <w:b/>
          <w:bCs/>
        </w:rPr>
        <w:t>Figure S</w:t>
      </w:r>
      <w:r w:rsidR="007210D0">
        <w:rPr>
          <w:b/>
          <w:bCs/>
        </w:rPr>
        <w:t>5</w:t>
      </w:r>
      <w:r w:rsidRPr="009548E4">
        <w:t xml:space="preserve">. </w:t>
      </w:r>
      <w:r w:rsidR="00EC2474" w:rsidRPr="00EC2474">
        <w:t xml:space="preserve">Relative weights of mice on days following challenge with </w:t>
      </w:r>
      <w:r w:rsidR="00EC2474" w:rsidRPr="00EC2474">
        <w:rPr>
          <w:i/>
          <w:iCs/>
        </w:rPr>
        <w:t xml:space="preserve">C. difficile </w:t>
      </w:r>
      <w:r w:rsidR="00EC2474" w:rsidRPr="00EC2474">
        <w:t>spores</w:t>
      </w:r>
      <w:r w:rsidR="00EC2474">
        <w:t>.</w:t>
      </w:r>
    </w:p>
    <w:p w14:paraId="3E03013C" w14:textId="77777777" w:rsidR="00EC2474" w:rsidRPr="00EC2474" w:rsidRDefault="00EC2474" w:rsidP="00FC38D2">
      <w:pPr>
        <w:pStyle w:val="MDPI31text"/>
        <w:ind w:firstLine="0"/>
      </w:pPr>
      <w:r w:rsidRPr="00EC2474">
        <w:t>Each symbol shows</w:t>
      </w:r>
      <w:r>
        <w:t xml:space="preserve"> </w:t>
      </w:r>
      <w:r w:rsidRPr="00EC2474">
        <w:t>an individual mouse with its weight relative to its weight on the day of spore inoculation (day 0).</w:t>
      </w:r>
      <w:r>
        <w:t xml:space="preserve"> </w:t>
      </w:r>
      <w:r w:rsidRPr="00EC2474">
        <w:t>Bar indicates the average for surviving mice on that day.</w:t>
      </w:r>
    </w:p>
    <w:p w14:paraId="1453384F" w14:textId="77777777" w:rsidR="00EC2474" w:rsidRDefault="00EC2474" w:rsidP="00FC38D2">
      <w:pPr>
        <w:pStyle w:val="MDPI31text"/>
        <w:ind w:firstLine="0"/>
      </w:pPr>
    </w:p>
    <w:p w14:paraId="57A3FC8C" w14:textId="77777777" w:rsidR="00EC2474" w:rsidRPr="009548E4" w:rsidRDefault="00EC2474" w:rsidP="00FC38D2">
      <w:pPr>
        <w:pStyle w:val="MDPI31text"/>
        <w:ind w:firstLine="0"/>
      </w:pPr>
      <w:r w:rsidRPr="009548E4">
        <w:rPr>
          <w:b/>
          <w:bCs/>
        </w:rPr>
        <w:t>Figure S</w:t>
      </w:r>
      <w:r w:rsidR="007210D0">
        <w:rPr>
          <w:b/>
          <w:bCs/>
        </w:rPr>
        <w:t>6</w:t>
      </w:r>
      <w:r w:rsidRPr="009548E4">
        <w:t xml:space="preserve">. Histology of </w:t>
      </w:r>
      <w:r w:rsidRPr="009548E4">
        <w:rPr>
          <w:i/>
          <w:iCs/>
        </w:rPr>
        <w:t>C. difficile-</w:t>
      </w:r>
      <w:r w:rsidRPr="009548E4">
        <w:t>infected murine tissues.</w:t>
      </w:r>
    </w:p>
    <w:p w14:paraId="491C7C7F" w14:textId="538A15DF" w:rsidR="00EC2474" w:rsidRDefault="00EC2474" w:rsidP="00FC38D2">
      <w:pPr>
        <w:pStyle w:val="MDPI31text"/>
        <w:ind w:firstLine="0"/>
      </w:pPr>
      <w:r w:rsidRPr="009548E4">
        <w:t xml:space="preserve">Mice were treated as described in </w:t>
      </w:r>
      <w:r w:rsidRPr="000C5564">
        <w:t>Figure 2A</w:t>
      </w:r>
      <w:r w:rsidRPr="009548E4">
        <w:t>. On day 2 post-inoculation with spores, mice were sacrificed and their ceca were removed. The cecum wall was fixed in buffered formalin. Processing and H &amp; E staining were conducted by the Tufts Comparative Pathology Core facility and samples were photographed with the 10x objective. (A) Cecum of a PBS-fed mouse, showing an area of edema with infiltration (indicated with bracket). (B) Cecum of an olive oil-fed mouse, showing an area of edema with infiltration (bracket).</w:t>
      </w:r>
      <w:r>
        <w:t xml:space="preserve"> (C) Histopathological scores of tissues from treatment groups.</w:t>
      </w:r>
      <w:r w:rsidR="002E37C4">
        <w:t xml:space="preserve"> </w:t>
      </w:r>
      <w:r w:rsidR="00AA79C6">
        <w:t>S</w:t>
      </w:r>
      <w:r w:rsidR="002E37C4">
        <w:t xml:space="preserve">coring was conducted </w:t>
      </w:r>
      <w:r w:rsidR="00AA79C6">
        <w:t xml:space="preserve">blinded </w:t>
      </w:r>
      <w:r w:rsidR="002E37C4">
        <w:t xml:space="preserve">on 30-40 </w:t>
      </w:r>
      <w:r w:rsidR="00AA79C6">
        <w:t xml:space="preserve">10x </w:t>
      </w:r>
      <w:r w:rsidR="002E37C4">
        <w:t>fields of view for each tissue. Scores were acquired by dividing the number of fields showing infiltration/inflammation by the total number of fields for that tissue. Each point on the graph represents an individual mouse.</w:t>
      </w:r>
      <w:r w:rsidR="001F36C9">
        <w:t xml:space="preserve"> A non-parametric t-test was used to compare the groups.</w:t>
      </w:r>
    </w:p>
    <w:p w14:paraId="64E0F4B8" w14:textId="77777777" w:rsidR="00D37B2A" w:rsidRDefault="00D37B2A" w:rsidP="00FC38D2">
      <w:pPr>
        <w:pStyle w:val="MDPI31text"/>
        <w:ind w:firstLine="0"/>
      </w:pPr>
    </w:p>
    <w:p w14:paraId="251915DB" w14:textId="77777777" w:rsidR="007E7AA5" w:rsidRPr="00455892" w:rsidRDefault="007E7AA5" w:rsidP="00FC38D2">
      <w:pPr>
        <w:pStyle w:val="MDPI31text"/>
        <w:ind w:firstLine="0"/>
      </w:pPr>
      <w:r w:rsidRPr="00455892">
        <w:rPr>
          <w:b/>
          <w:bCs/>
        </w:rPr>
        <w:t>Figure S</w:t>
      </w:r>
      <w:r w:rsidR="007210D0">
        <w:rPr>
          <w:b/>
          <w:bCs/>
        </w:rPr>
        <w:t>7</w:t>
      </w:r>
      <w:r w:rsidRPr="00455892">
        <w:t xml:space="preserve">. </w:t>
      </w:r>
      <w:proofErr w:type="spellStart"/>
      <w:r w:rsidRPr="00455892">
        <w:t>Cecal</w:t>
      </w:r>
      <w:proofErr w:type="spellEnd"/>
      <w:r w:rsidRPr="00455892">
        <w:t xml:space="preserve"> microbiota community diversity scores.</w:t>
      </w:r>
    </w:p>
    <w:p w14:paraId="4E683252" w14:textId="77777777" w:rsidR="007E7AA5" w:rsidRPr="009548E4" w:rsidRDefault="007E7AA5" w:rsidP="00FC38D2">
      <w:pPr>
        <w:pStyle w:val="MDPI31text"/>
        <w:ind w:firstLine="0"/>
        <w:rPr>
          <w:u w:val="single"/>
        </w:rPr>
      </w:pPr>
      <w:r w:rsidRPr="009548E4">
        <w:t xml:space="preserve">Mice were treated as described in </w:t>
      </w:r>
      <w:r w:rsidRPr="000C5564">
        <w:t>Figure 2A</w:t>
      </w:r>
      <w:r w:rsidRPr="009548E4">
        <w:t xml:space="preserve">. On day 2 post-inoculation with spores, mice were sacrificed and their ceca were removed. </w:t>
      </w:r>
      <w:r>
        <w:t xml:space="preserve">Bacterial composition was analyzed as described in Materials and Methods with QIIME 2 and </w:t>
      </w:r>
      <w:r w:rsidRPr="00D368E1">
        <w:t xml:space="preserve">diversity scores were calculated. Bar represents the mean diversity score for all mice </w:t>
      </w:r>
      <w:r w:rsidRPr="00D368E1">
        <w:lastRenderedPageBreak/>
        <w:t xml:space="preserve">within a group. (A) Chao1, (B) Shannon, and (C) Simpson. </w:t>
      </w:r>
      <w:r w:rsidRPr="00DB7D75">
        <w:t xml:space="preserve">Circles, antibiotic-treated, uncolonized; triangles, antibiotic-treated, </w:t>
      </w:r>
      <w:r w:rsidRPr="00DB7D75">
        <w:rPr>
          <w:i/>
        </w:rPr>
        <w:t>C. albicans-</w:t>
      </w:r>
      <w:r w:rsidRPr="00DB7D75">
        <w:t>colonized.</w:t>
      </w:r>
      <w:r w:rsidRPr="00D368E1">
        <w:t xml:space="preserve"> </w:t>
      </w:r>
    </w:p>
    <w:p w14:paraId="0E5F63BC" w14:textId="77777777" w:rsidR="007E7AA5" w:rsidRPr="009548E4" w:rsidRDefault="007E7AA5" w:rsidP="00FC38D2">
      <w:pPr>
        <w:pStyle w:val="MDPI31text"/>
      </w:pPr>
    </w:p>
    <w:p w14:paraId="7C81E501" w14:textId="77777777" w:rsidR="007210D0" w:rsidRDefault="007210D0" w:rsidP="00FC38D2">
      <w:pPr>
        <w:jc w:val="both"/>
        <w:rPr>
          <w:rFonts w:ascii="Palatino Linotype" w:hAnsi="Palatino Linotype"/>
          <w:sz w:val="20"/>
          <w:szCs w:val="20"/>
        </w:rPr>
      </w:pPr>
      <w:r w:rsidRPr="00455892">
        <w:rPr>
          <w:rFonts w:ascii="Palatino Linotype" w:hAnsi="Palatino Linotype"/>
          <w:b/>
          <w:bCs/>
          <w:sz w:val="20"/>
          <w:szCs w:val="20"/>
        </w:rPr>
        <w:t>Figure S</w:t>
      </w:r>
      <w:r>
        <w:rPr>
          <w:rFonts w:ascii="Palatino Linotype" w:hAnsi="Palatino Linotype"/>
          <w:b/>
          <w:bCs/>
          <w:sz w:val="20"/>
          <w:szCs w:val="20"/>
        </w:rPr>
        <w:t>8</w:t>
      </w:r>
      <w:r w:rsidRPr="00455892">
        <w:rPr>
          <w:rFonts w:ascii="Palatino Linotype" w:hAnsi="Palatino Linotype"/>
          <w:b/>
          <w:bCs/>
          <w:sz w:val="20"/>
          <w:szCs w:val="20"/>
        </w:rPr>
        <w:t>.</w:t>
      </w:r>
      <w:r w:rsidRPr="00455892">
        <w:rPr>
          <w:rFonts w:ascii="Palatino Linotype" w:hAnsi="Palatino Linotype"/>
          <w:sz w:val="20"/>
          <w:szCs w:val="20"/>
        </w:rPr>
        <w:t xml:space="preserve"> Vegetative cells and spores after growth in TY broth</w:t>
      </w:r>
      <w:r>
        <w:rPr>
          <w:rFonts w:ascii="Palatino Linotype" w:hAnsi="Palatino Linotype"/>
          <w:sz w:val="20"/>
          <w:szCs w:val="20"/>
        </w:rPr>
        <w:t xml:space="preserve"> for 51 hours</w:t>
      </w:r>
      <w:r w:rsidRPr="00455892">
        <w:rPr>
          <w:rFonts w:ascii="Palatino Linotype" w:hAnsi="Palatino Linotype"/>
          <w:sz w:val="20"/>
          <w:szCs w:val="20"/>
        </w:rPr>
        <w:t xml:space="preserve"> with and without oleic acid. </w:t>
      </w:r>
    </w:p>
    <w:p w14:paraId="6752F38F" w14:textId="7375E21A" w:rsidR="007210D0" w:rsidRDefault="007210D0" w:rsidP="00FC38D2">
      <w:pPr>
        <w:jc w:val="both"/>
        <w:rPr>
          <w:rFonts w:ascii="Palatino Linotype" w:hAnsi="Palatino Linotype"/>
          <w:sz w:val="20"/>
          <w:szCs w:val="20"/>
        </w:rPr>
      </w:pPr>
      <w:r w:rsidRPr="00455892">
        <w:rPr>
          <w:rFonts w:ascii="Palatino Linotype" w:hAnsi="Palatino Linotype"/>
          <w:sz w:val="20"/>
          <w:szCs w:val="20"/>
        </w:rPr>
        <w:t>Cultures were grown in an anaerobic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>chamber for 51 hours. Vegetative cells (Veg) were enumerated by plating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>on BHIS plates. Spores were enumerated by heating the culture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>to 60</w:t>
      </w:r>
      <w:r w:rsidRPr="00455892">
        <w:rPr>
          <w:rFonts w:ascii="Palatino Linotype" w:hAnsi="Palatino Linotype"/>
          <w:sz w:val="20"/>
          <w:szCs w:val="20"/>
          <w:vertAlign w:val="superscript"/>
        </w:rPr>
        <w:t>o</w:t>
      </w:r>
      <w:r w:rsidRPr="00455892">
        <w:rPr>
          <w:rFonts w:ascii="Palatino Linotype" w:hAnsi="Palatino Linotype"/>
          <w:sz w:val="20"/>
          <w:szCs w:val="20"/>
        </w:rPr>
        <w:t>C for 10 min. and plating on BHIS plates with taurocholate. Each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>symbol indicates results from a different culture and the bar indicates</w:t>
      </w:r>
      <w:r w:rsidR="00E86427"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>the geometric mean.</w:t>
      </w:r>
    </w:p>
    <w:p w14:paraId="7456A3FD" w14:textId="77777777" w:rsidR="007210D0" w:rsidRDefault="007210D0" w:rsidP="00FC38D2">
      <w:pPr>
        <w:jc w:val="both"/>
        <w:rPr>
          <w:rFonts w:ascii="Palatino Linotype" w:hAnsi="Palatino Linotype"/>
          <w:sz w:val="20"/>
          <w:szCs w:val="20"/>
        </w:rPr>
      </w:pPr>
    </w:p>
    <w:p w14:paraId="3ADE2875" w14:textId="77777777" w:rsidR="003C0792" w:rsidRDefault="00632ECA" w:rsidP="00FC38D2">
      <w:pPr>
        <w:jc w:val="both"/>
        <w:rPr>
          <w:rFonts w:ascii="Palatino Linotype" w:hAnsi="Palatino Linotype"/>
          <w:sz w:val="20"/>
          <w:szCs w:val="20"/>
        </w:rPr>
      </w:pPr>
      <w:r w:rsidRPr="00455892">
        <w:rPr>
          <w:rFonts w:ascii="Palatino Linotype" w:hAnsi="Palatino Linotype"/>
          <w:b/>
          <w:bCs/>
          <w:sz w:val="20"/>
          <w:szCs w:val="20"/>
        </w:rPr>
        <w:t>Figure S</w:t>
      </w:r>
      <w:r w:rsidR="007210D0">
        <w:rPr>
          <w:rFonts w:ascii="Palatino Linotype" w:hAnsi="Palatino Linotype"/>
          <w:b/>
          <w:bCs/>
          <w:sz w:val="20"/>
          <w:szCs w:val="20"/>
        </w:rPr>
        <w:t>9</w:t>
      </w:r>
      <w:r w:rsidRPr="00455892">
        <w:rPr>
          <w:rFonts w:ascii="Palatino Linotype" w:hAnsi="Palatino Linotype"/>
          <w:b/>
          <w:bCs/>
          <w:sz w:val="20"/>
          <w:szCs w:val="20"/>
        </w:rPr>
        <w:t>.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 xml:space="preserve">Transcription of </w:t>
      </w:r>
      <w:proofErr w:type="spellStart"/>
      <w:r w:rsidRPr="00455892">
        <w:rPr>
          <w:rFonts w:ascii="Palatino Linotype" w:hAnsi="Palatino Linotype"/>
          <w:i/>
          <w:iCs/>
          <w:sz w:val="20"/>
          <w:szCs w:val="20"/>
        </w:rPr>
        <w:t>tcdB</w:t>
      </w:r>
      <w:proofErr w:type="spellEnd"/>
      <w:r w:rsidRPr="00455892">
        <w:rPr>
          <w:rFonts w:ascii="Palatino Linotype" w:hAnsi="Palatino Linotype"/>
          <w:sz w:val="20"/>
          <w:szCs w:val="20"/>
        </w:rPr>
        <w:t xml:space="preserve"> normalized to </w:t>
      </w:r>
      <w:proofErr w:type="spellStart"/>
      <w:r w:rsidRPr="00455892">
        <w:rPr>
          <w:rFonts w:ascii="Palatino Linotype" w:hAnsi="Palatino Linotype"/>
          <w:i/>
          <w:iCs/>
          <w:sz w:val="20"/>
          <w:szCs w:val="20"/>
        </w:rPr>
        <w:t>rpoA</w:t>
      </w:r>
      <w:proofErr w:type="spellEnd"/>
      <w:r w:rsidRPr="00455892">
        <w:rPr>
          <w:rFonts w:ascii="Palatino Linotype" w:hAnsi="Palatino Linotype"/>
          <w:sz w:val="20"/>
          <w:szCs w:val="20"/>
        </w:rPr>
        <w:t>.</w:t>
      </w:r>
    </w:p>
    <w:p w14:paraId="77C2DA9B" w14:textId="0C6FF456" w:rsidR="00632ECA" w:rsidRDefault="00632ECA" w:rsidP="00FC38D2">
      <w:pPr>
        <w:jc w:val="both"/>
        <w:rPr>
          <w:rFonts w:ascii="Palatino Linotype" w:hAnsi="Palatino Linotype"/>
          <w:sz w:val="20"/>
          <w:szCs w:val="20"/>
        </w:rPr>
      </w:pPr>
      <w:r w:rsidRPr="00455892">
        <w:rPr>
          <w:rFonts w:ascii="Palatino Linotype" w:hAnsi="Palatino Linotype"/>
          <w:i/>
          <w:iCs/>
          <w:sz w:val="20"/>
          <w:szCs w:val="20"/>
        </w:rPr>
        <w:t>C. difficile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>cells were cultured in TY broth with the indicated concentration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 xml:space="preserve">of oleic acid for 24 </w:t>
      </w:r>
      <w:proofErr w:type="spellStart"/>
      <w:r w:rsidRPr="00455892">
        <w:rPr>
          <w:rFonts w:ascii="Palatino Linotype" w:hAnsi="Palatino Linotype"/>
          <w:sz w:val="20"/>
          <w:szCs w:val="20"/>
        </w:rPr>
        <w:t>hrs</w:t>
      </w:r>
      <w:proofErr w:type="spellEnd"/>
      <w:r w:rsidRPr="00455892">
        <w:rPr>
          <w:rFonts w:ascii="Palatino Linotype" w:hAnsi="Palatino Linotype"/>
          <w:sz w:val="20"/>
          <w:szCs w:val="20"/>
        </w:rPr>
        <w:t xml:space="preserve"> in an anaerobic chamber. Cells were harvested and RNA was extracted. Transcription of genes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>was measured in cDNA using real time RT PCR. Each symbol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455892">
        <w:rPr>
          <w:rFonts w:ascii="Palatino Linotype" w:hAnsi="Palatino Linotype"/>
          <w:sz w:val="20"/>
          <w:szCs w:val="20"/>
        </w:rPr>
        <w:t>indicates results from a different culture and the bar indicates the geometric mean. **, p&lt;0.0001 (ANOVA, Dunnett’s multiple comparisons test)</w:t>
      </w:r>
      <w:r>
        <w:rPr>
          <w:rFonts w:ascii="Palatino Linotype" w:hAnsi="Palatino Linotype"/>
          <w:sz w:val="20"/>
          <w:szCs w:val="20"/>
        </w:rPr>
        <w:t>.</w:t>
      </w:r>
    </w:p>
    <w:p w14:paraId="09495ECD" w14:textId="77777777" w:rsidR="00632ECA" w:rsidRPr="00455892" w:rsidRDefault="00632ECA" w:rsidP="00FC38D2">
      <w:pPr>
        <w:jc w:val="both"/>
        <w:rPr>
          <w:rFonts w:ascii="Palatino Linotype" w:hAnsi="Palatino Linotype"/>
          <w:sz w:val="20"/>
          <w:szCs w:val="20"/>
        </w:rPr>
      </w:pPr>
    </w:p>
    <w:p w14:paraId="5EC6A6ED" w14:textId="77777777" w:rsidR="00BE0CC7" w:rsidRDefault="00BE0CC7" w:rsidP="00FC38D2">
      <w:pPr>
        <w:jc w:val="both"/>
        <w:rPr>
          <w:rFonts w:ascii="Palatino Linotype" w:hAnsi="Palatino Linotype"/>
          <w:sz w:val="20"/>
          <w:szCs w:val="20"/>
        </w:rPr>
      </w:pPr>
    </w:p>
    <w:p w14:paraId="05FEC4BE" w14:textId="77777777" w:rsidR="00455892" w:rsidRDefault="00455892" w:rsidP="00FC38D2">
      <w:pPr>
        <w:jc w:val="both"/>
        <w:rPr>
          <w:rFonts w:ascii="Palatino Linotype" w:hAnsi="Palatino Linotype"/>
          <w:sz w:val="20"/>
          <w:szCs w:val="20"/>
        </w:rPr>
      </w:pPr>
    </w:p>
    <w:p w14:paraId="19CE5D0E" w14:textId="77777777" w:rsidR="00455892" w:rsidRPr="00455892" w:rsidRDefault="00455892" w:rsidP="00FC38D2">
      <w:pPr>
        <w:jc w:val="both"/>
        <w:rPr>
          <w:rFonts w:ascii="Palatino Linotype" w:hAnsi="Palatino Linotype"/>
          <w:sz w:val="20"/>
          <w:szCs w:val="20"/>
        </w:rPr>
      </w:pPr>
    </w:p>
    <w:sectPr w:rsidR="00455892" w:rsidRPr="00455892" w:rsidSect="002F3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Times New Roman"/>
    <w:panose1 w:val="020204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AA5"/>
    <w:rsid w:val="000B52A6"/>
    <w:rsid w:val="00132FDE"/>
    <w:rsid w:val="001B206C"/>
    <w:rsid w:val="001E0B66"/>
    <w:rsid w:val="001F36C9"/>
    <w:rsid w:val="002835C2"/>
    <w:rsid w:val="002C3DD8"/>
    <w:rsid w:val="002E37C4"/>
    <w:rsid w:val="002F307A"/>
    <w:rsid w:val="0030567E"/>
    <w:rsid w:val="003546BA"/>
    <w:rsid w:val="003C0792"/>
    <w:rsid w:val="003C2EAC"/>
    <w:rsid w:val="003E2CE8"/>
    <w:rsid w:val="00412919"/>
    <w:rsid w:val="00431F0A"/>
    <w:rsid w:val="00435FD1"/>
    <w:rsid w:val="00455892"/>
    <w:rsid w:val="00462DD9"/>
    <w:rsid w:val="004A599D"/>
    <w:rsid w:val="004C49EA"/>
    <w:rsid w:val="00560D8E"/>
    <w:rsid w:val="00573E2A"/>
    <w:rsid w:val="005844A7"/>
    <w:rsid w:val="005A26BC"/>
    <w:rsid w:val="005D10EC"/>
    <w:rsid w:val="005D2DED"/>
    <w:rsid w:val="005D445B"/>
    <w:rsid w:val="00602B53"/>
    <w:rsid w:val="00602E22"/>
    <w:rsid w:val="0062379D"/>
    <w:rsid w:val="00625E2A"/>
    <w:rsid w:val="00626603"/>
    <w:rsid w:val="00632ECA"/>
    <w:rsid w:val="00645108"/>
    <w:rsid w:val="006609CC"/>
    <w:rsid w:val="00671A22"/>
    <w:rsid w:val="00682481"/>
    <w:rsid w:val="0069097D"/>
    <w:rsid w:val="006A6F8B"/>
    <w:rsid w:val="006B19CE"/>
    <w:rsid w:val="006E5F66"/>
    <w:rsid w:val="007210D0"/>
    <w:rsid w:val="00730AE9"/>
    <w:rsid w:val="0075356B"/>
    <w:rsid w:val="007713A5"/>
    <w:rsid w:val="0078750A"/>
    <w:rsid w:val="007E02D1"/>
    <w:rsid w:val="007E7AA5"/>
    <w:rsid w:val="00822BDF"/>
    <w:rsid w:val="008308CC"/>
    <w:rsid w:val="00852FC5"/>
    <w:rsid w:val="00853954"/>
    <w:rsid w:val="00876EF5"/>
    <w:rsid w:val="008902EF"/>
    <w:rsid w:val="008E5940"/>
    <w:rsid w:val="00905909"/>
    <w:rsid w:val="00956D57"/>
    <w:rsid w:val="00970D2D"/>
    <w:rsid w:val="009A2FBD"/>
    <w:rsid w:val="00A72914"/>
    <w:rsid w:val="00AA79C6"/>
    <w:rsid w:val="00AE7C99"/>
    <w:rsid w:val="00B10C11"/>
    <w:rsid w:val="00B201F1"/>
    <w:rsid w:val="00B35F86"/>
    <w:rsid w:val="00B774D8"/>
    <w:rsid w:val="00BC0DDD"/>
    <w:rsid w:val="00BD3EED"/>
    <w:rsid w:val="00BE0CC7"/>
    <w:rsid w:val="00BF7773"/>
    <w:rsid w:val="00C11DA2"/>
    <w:rsid w:val="00C26BB0"/>
    <w:rsid w:val="00C4659E"/>
    <w:rsid w:val="00C51D6E"/>
    <w:rsid w:val="00C87397"/>
    <w:rsid w:val="00C907FC"/>
    <w:rsid w:val="00C9447A"/>
    <w:rsid w:val="00CC60B7"/>
    <w:rsid w:val="00CD3F93"/>
    <w:rsid w:val="00D27BBB"/>
    <w:rsid w:val="00D37792"/>
    <w:rsid w:val="00D37B2A"/>
    <w:rsid w:val="00D47152"/>
    <w:rsid w:val="00D848DC"/>
    <w:rsid w:val="00E71FEE"/>
    <w:rsid w:val="00E73D71"/>
    <w:rsid w:val="00E86427"/>
    <w:rsid w:val="00EA45EB"/>
    <w:rsid w:val="00EC2474"/>
    <w:rsid w:val="00ED4E19"/>
    <w:rsid w:val="00EE2B41"/>
    <w:rsid w:val="00EE2F7B"/>
    <w:rsid w:val="00F067A9"/>
    <w:rsid w:val="00F30950"/>
    <w:rsid w:val="00F41B29"/>
    <w:rsid w:val="00F615E2"/>
    <w:rsid w:val="00FC38D2"/>
    <w:rsid w:val="00FE459A"/>
    <w:rsid w:val="00FE719E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F5CA68"/>
  <w15:docId w15:val="{6C1D11EC-EF65-D84E-A640-442CF2D6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link w:val="MDPI31textChar"/>
    <w:qFormat/>
    <w:rsid w:val="007E7AA5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character" w:customStyle="1" w:styleId="MDPI31textChar">
    <w:name w:val="MDPI_3.1_text Char"/>
    <w:basedOn w:val="DefaultParagraphFont"/>
    <w:link w:val="MDPI31text"/>
    <w:rsid w:val="007E7AA5"/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89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892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558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4083</Characters>
  <Application>Microsoft Office Word</Application>
  <DocSecurity>0</DocSecurity>
  <Lines>34</Lines>
  <Paragraphs>9</Paragraphs>
  <ScaleCrop>false</ScaleCrop>
  <Company>Tufts University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Romo, Jesus Antonio</dc:creator>
  <cp:keywords/>
  <dc:description/>
  <cp:lastModifiedBy>Romo, Jesus Antonio</cp:lastModifiedBy>
  <cp:revision>2</cp:revision>
  <dcterms:created xsi:type="dcterms:W3CDTF">2020-06-18T12:38:00Z</dcterms:created>
  <dcterms:modified xsi:type="dcterms:W3CDTF">2020-06-18T12:38:00Z</dcterms:modified>
</cp:coreProperties>
</file>