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F4B17" w14:textId="7344397D" w:rsidR="0015737F" w:rsidRPr="00793738" w:rsidRDefault="00793738" w:rsidP="0015737F">
      <w:pPr>
        <w:rPr>
          <w:rFonts w:ascii="Palatino Linotype" w:hAnsi="Palatino Linotype" w:cstheme="minorHAnsi"/>
          <w:b/>
          <w:bCs/>
          <w:sz w:val="20"/>
          <w:szCs w:val="20"/>
        </w:rPr>
      </w:pPr>
      <w:r w:rsidRPr="00793738">
        <w:rPr>
          <w:rFonts w:ascii="Palatino Linotype" w:hAnsi="Palatino Linotype" w:cstheme="minorHAnsi"/>
          <w:b/>
          <w:bCs/>
          <w:sz w:val="20"/>
          <w:szCs w:val="20"/>
        </w:rPr>
        <w:t>Supplemental Figures</w:t>
      </w:r>
    </w:p>
    <w:p w14:paraId="1B5E5E68" w14:textId="77777777" w:rsidR="00793738" w:rsidRDefault="00793738" w:rsidP="0015737F">
      <w:pPr>
        <w:rPr>
          <w:rFonts w:cstheme="minorHAnsi"/>
          <w:sz w:val="22"/>
          <w:szCs w:val="22"/>
        </w:rPr>
      </w:pPr>
    </w:p>
    <w:p w14:paraId="25890AA6" w14:textId="77777777" w:rsidR="0015737F" w:rsidRDefault="0015737F" w:rsidP="0015737F">
      <w:pPr>
        <w:rPr>
          <w:rFonts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3D7F7F30" wp14:editId="6CB8CC96">
            <wp:extent cx="5652135" cy="3771624"/>
            <wp:effectExtent l="0" t="0" r="12065" b="1333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26FFC6EF" w14:textId="3DF0F63B" w:rsidR="0015737F" w:rsidRPr="00793738" w:rsidRDefault="00793738" w:rsidP="00793738">
      <w:pPr>
        <w:jc w:val="both"/>
        <w:rPr>
          <w:rFonts w:ascii="Palatino Linotype" w:hAnsi="Palatino Linotype" w:cstheme="minorHAnsi"/>
          <w:sz w:val="18"/>
          <w:szCs w:val="18"/>
        </w:rPr>
      </w:pPr>
      <w:r w:rsidRPr="00793738">
        <w:rPr>
          <w:rFonts w:ascii="Palatino Linotype" w:hAnsi="Palatino Linotype" w:cstheme="minorHAnsi"/>
          <w:sz w:val="18"/>
          <w:szCs w:val="18"/>
        </w:rPr>
        <w:t>Figure</w:t>
      </w:r>
      <w:r w:rsidR="00CD594F" w:rsidRPr="00793738">
        <w:rPr>
          <w:rFonts w:ascii="Palatino Linotype" w:hAnsi="Palatino Linotype" w:cstheme="minorHAnsi"/>
          <w:sz w:val="18"/>
          <w:szCs w:val="18"/>
        </w:rPr>
        <w:t xml:space="preserve"> </w:t>
      </w:r>
      <w:r w:rsidRPr="00793738">
        <w:rPr>
          <w:rFonts w:ascii="Palatino Linotype" w:hAnsi="Palatino Linotype" w:cstheme="minorHAnsi"/>
          <w:sz w:val="18"/>
          <w:szCs w:val="18"/>
        </w:rPr>
        <w:t>S</w:t>
      </w:r>
      <w:r w:rsidR="00CD594F" w:rsidRPr="00793738">
        <w:rPr>
          <w:rFonts w:ascii="Palatino Linotype" w:hAnsi="Palatino Linotype" w:cstheme="minorHAnsi"/>
          <w:sz w:val="18"/>
          <w:szCs w:val="18"/>
        </w:rPr>
        <w:t>1</w:t>
      </w:r>
      <w:r w:rsidR="0015737F" w:rsidRPr="00793738">
        <w:rPr>
          <w:rFonts w:ascii="Palatino Linotype" w:hAnsi="Palatino Linotype" w:cstheme="minorHAnsi"/>
          <w:sz w:val="18"/>
          <w:szCs w:val="18"/>
        </w:rPr>
        <w:t xml:space="preserve">. Percent of Embryos Showing Sublethal Effects After Exposure to DCM- Extracted Pigments from Fungi at 24 and 120 </w:t>
      </w:r>
      <w:proofErr w:type="spellStart"/>
      <w:r w:rsidR="0015737F"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="0015737F" w:rsidRPr="00793738">
        <w:rPr>
          <w:rFonts w:ascii="Palatino Linotype" w:hAnsi="Palatino Linotype" w:cstheme="minorHAnsi"/>
          <w:sz w:val="18"/>
          <w:szCs w:val="18"/>
        </w:rPr>
        <w:t>. Pigments showed different levels of toxicity under different test conditions, though generally longer time points and higher concentrations were related to higher toxicity levels.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</w:t>
      </w:r>
      <w:r w:rsidR="0015737F" w:rsidRPr="00793738">
        <w:rPr>
          <w:rFonts w:ascii="Palatino Linotype" w:hAnsi="Palatino Linotype" w:cstheme="minorHAnsi"/>
          <w:sz w:val="18"/>
          <w:szCs w:val="18"/>
        </w:rPr>
        <w:t xml:space="preserve">Zeros indicate there were no sublethal effects in that condition. Lack of sublethal deformation for </w:t>
      </w:r>
      <w:r w:rsidR="0015737F" w:rsidRPr="00EC0E35">
        <w:rPr>
          <w:rFonts w:ascii="Palatino Linotype" w:hAnsi="Palatino Linotype" w:cstheme="minorHAnsi"/>
          <w:i/>
          <w:iCs/>
          <w:sz w:val="18"/>
          <w:szCs w:val="18"/>
        </w:rPr>
        <w:t>S. cuboideum</w:t>
      </w:r>
      <w:r w:rsidR="0015737F" w:rsidRPr="00793738">
        <w:rPr>
          <w:rFonts w:ascii="Palatino Linotype" w:hAnsi="Palatino Linotype" w:cstheme="minorHAnsi"/>
          <w:sz w:val="18"/>
          <w:szCs w:val="18"/>
        </w:rPr>
        <w:t xml:space="preserve"> grown in maple media is due to death of all embryos at 24 </w:t>
      </w:r>
      <w:proofErr w:type="spellStart"/>
      <w:r w:rsidR="0015737F"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="0015737F" w:rsidRPr="00793738">
        <w:rPr>
          <w:rFonts w:ascii="Palatino Linotype" w:hAnsi="Palatino Linotype" w:cstheme="minorHAnsi"/>
          <w:sz w:val="18"/>
          <w:szCs w:val="18"/>
        </w:rPr>
        <w:t xml:space="preserve">. </w:t>
      </w:r>
    </w:p>
    <w:p w14:paraId="011A2B2F" w14:textId="77777777" w:rsidR="00CD594F" w:rsidRDefault="00CD594F" w:rsidP="0015737F">
      <w:pPr>
        <w:rPr>
          <w:rFonts w:cstheme="minorHAnsi"/>
          <w:sz w:val="22"/>
          <w:szCs w:val="22"/>
        </w:rPr>
      </w:pPr>
    </w:p>
    <w:p w14:paraId="2180E658" w14:textId="77777777" w:rsidR="00CD594F" w:rsidRDefault="00CD594F" w:rsidP="00CD594F">
      <w:pPr>
        <w:rPr>
          <w:rFonts w:cstheme="minorHAns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1926209" wp14:editId="47C7DD11">
            <wp:extent cx="5766435" cy="3431540"/>
            <wp:effectExtent l="0" t="0" r="24765" b="2286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9118E71" w14:textId="468C0B11" w:rsidR="00CD594F" w:rsidRPr="00793738" w:rsidRDefault="00CD594F" w:rsidP="00CD594F">
      <w:pPr>
        <w:rPr>
          <w:rFonts w:ascii="Palatino Linotype" w:hAnsi="Palatino Linotype" w:cstheme="minorHAnsi"/>
          <w:sz w:val="18"/>
          <w:szCs w:val="18"/>
        </w:rPr>
      </w:pPr>
      <w:r w:rsidRPr="00793738">
        <w:rPr>
          <w:rFonts w:ascii="Palatino Linotype" w:hAnsi="Palatino Linotype" w:cstheme="minorHAnsi"/>
          <w:sz w:val="18"/>
          <w:szCs w:val="18"/>
        </w:rPr>
        <w:t>Fig</w:t>
      </w:r>
      <w:r w:rsidR="00793738" w:rsidRPr="00793738">
        <w:rPr>
          <w:rFonts w:ascii="Palatino Linotype" w:hAnsi="Palatino Linotype" w:cstheme="minorHAnsi"/>
          <w:sz w:val="18"/>
          <w:szCs w:val="18"/>
        </w:rPr>
        <w:t>ure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</w:t>
      </w:r>
      <w:r w:rsidR="00793738" w:rsidRPr="00793738">
        <w:rPr>
          <w:rFonts w:ascii="Palatino Linotype" w:hAnsi="Palatino Linotype" w:cstheme="minorHAnsi"/>
          <w:sz w:val="18"/>
          <w:szCs w:val="18"/>
        </w:rPr>
        <w:t>S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2. Percent of Embryos Showing Sublethal Effects After Exposure to Pigments from Fungi Grown in Liquid Media at 24 and 120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. Zeros indicate there were no sublethal effects in that condition Lack of sublethal deformation information for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cuboideum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and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ganodermophthorum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in live and sterilized media, and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cuboideum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filtered media, is due to death of all embryos at 24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. High levels of sublethal deformations were seen at 120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 for </w:t>
      </w:r>
      <w:r w:rsidRPr="00793738">
        <w:rPr>
          <w:rFonts w:ascii="Palatino Linotype" w:hAnsi="Palatino Linotype" w:cstheme="minorHAnsi"/>
          <w:i/>
          <w:sz w:val="18"/>
          <w:szCs w:val="18"/>
        </w:rPr>
        <w:t>Chlorociboria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species, whereas </w:t>
      </w:r>
      <w:r w:rsidRPr="00793738">
        <w:rPr>
          <w:rFonts w:ascii="Palatino Linotype" w:hAnsi="Palatino Linotype" w:cstheme="minorHAnsi"/>
          <w:i/>
          <w:sz w:val="18"/>
          <w:szCs w:val="18"/>
        </w:rPr>
        <w:t>Scytalidium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species were associated with such a high level of mortality that sublethal effects could not be measured under many conditions. </w:t>
      </w:r>
    </w:p>
    <w:p w14:paraId="63F74E3A" w14:textId="77777777" w:rsidR="00CD594F" w:rsidRDefault="00CD594F" w:rsidP="0015737F">
      <w:pPr>
        <w:rPr>
          <w:rFonts w:cstheme="minorHAnsi"/>
          <w:sz w:val="22"/>
          <w:szCs w:val="22"/>
        </w:rPr>
      </w:pPr>
    </w:p>
    <w:p w14:paraId="6BB2800A" w14:textId="77777777" w:rsidR="003E3CB2" w:rsidRDefault="001E30A2"/>
    <w:sectPr w:rsidR="003E3CB2" w:rsidSect="00C06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085"/>
    <w:rsid w:val="00000F95"/>
    <w:rsid w:val="000060DD"/>
    <w:rsid w:val="00036BAB"/>
    <w:rsid w:val="000776A3"/>
    <w:rsid w:val="00095FFA"/>
    <w:rsid w:val="000C7B1A"/>
    <w:rsid w:val="000E4588"/>
    <w:rsid w:val="001223C4"/>
    <w:rsid w:val="001247C2"/>
    <w:rsid w:val="0015737F"/>
    <w:rsid w:val="00157D63"/>
    <w:rsid w:val="00162E9D"/>
    <w:rsid w:val="001B3756"/>
    <w:rsid w:val="001D1048"/>
    <w:rsid w:val="001D70AD"/>
    <w:rsid w:val="001E30A2"/>
    <w:rsid w:val="001E445F"/>
    <w:rsid w:val="00243024"/>
    <w:rsid w:val="002A19D2"/>
    <w:rsid w:val="002A7346"/>
    <w:rsid w:val="002B2D41"/>
    <w:rsid w:val="002D328A"/>
    <w:rsid w:val="003122B7"/>
    <w:rsid w:val="003363F3"/>
    <w:rsid w:val="00356219"/>
    <w:rsid w:val="00371AAD"/>
    <w:rsid w:val="00375B0B"/>
    <w:rsid w:val="00376DB3"/>
    <w:rsid w:val="003D6D46"/>
    <w:rsid w:val="00441972"/>
    <w:rsid w:val="00452C36"/>
    <w:rsid w:val="00455AD4"/>
    <w:rsid w:val="004646D5"/>
    <w:rsid w:val="00481649"/>
    <w:rsid w:val="0049620A"/>
    <w:rsid w:val="004F2CEF"/>
    <w:rsid w:val="00562997"/>
    <w:rsid w:val="005708B7"/>
    <w:rsid w:val="00591D8E"/>
    <w:rsid w:val="005E12D2"/>
    <w:rsid w:val="0062109A"/>
    <w:rsid w:val="0064778A"/>
    <w:rsid w:val="0065035F"/>
    <w:rsid w:val="006713BC"/>
    <w:rsid w:val="006A204D"/>
    <w:rsid w:val="006E51D5"/>
    <w:rsid w:val="006E6FE6"/>
    <w:rsid w:val="00701720"/>
    <w:rsid w:val="00706548"/>
    <w:rsid w:val="00706A4F"/>
    <w:rsid w:val="00793738"/>
    <w:rsid w:val="007A6EA9"/>
    <w:rsid w:val="007B1FEE"/>
    <w:rsid w:val="007B224B"/>
    <w:rsid w:val="0081499B"/>
    <w:rsid w:val="00826CB1"/>
    <w:rsid w:val="00840911"/>
    <w:rsid w:val="0086390C"/>
    <w:rsid w:val="008A014C"/>
    <w:rsid w:val="008B2F69"/>
    <w:rsid w:val="008D564F"/>
    <w:rsid w:val="008E6770"/>
    <w:rsid w:val="008F3E97"/>
    <w:rsid w:val="009C46CC"/>
    <w:rsid w:val="009D6EA3"/>
    <w:rsid w:val="00A4177E"/>
    <w:rsid w:val="00A66825"/>
    <w:rsid w:val="00AB6FCF"/>
    <w:rsid w:val="00B23380"/>
    <w:rsid w:val="00B406E3"/>
    <w:rsid w:val="00BB070B"/>
    <w:rsid w:val="00BC5E37"/>
    <w:rsid w:val="00BF6680"/>
    <w:rsid w:val="00BF7F21"/>
    <w:rsid w:val="00C06357"/>
    <w:rsid w:val="00C12BB3"/>
    <w:rsid w:val="00C17AF1"/>
    <w:rsid w:val="00C34EEF"/>
    <w:rsid w:val="00C55C3A"/>
    <w:rsid w:val="00CB4881"/>
    <w:rsid w:val="00CB554D"/>
    <w:rsid w:val="00CC6C37"/>
    <w:rsid w:val="00CD594F"/>
    <w:rsid w:val="00D301C2"/>
    <w:rsid w:val="00D56064"/>
    <w:rsid w:val="00D8564C"/>
    <w:rsid w:val="00DF4FDC"/>
    <w:rsid w:val="00E00A0E"/>
    <w:rsid w:val="00E23D4C"/>
    <w:rsid w:val="00E24085"/>
    <w:rsid w:val="00E52392"/>
    <w:rsid w:val="00E547B6"/>
    <w:rsid w:val="00E76089"/>
    <w:rsid w:val="00EA54F3"/>
    <w:rsid w:val="00EC0E35"/>
    <w:rsid w:val="00ED349B"/>
    <w:rsid w:val="00ED4C67"/>
    <w:rsid w:val="00EE23B7"/>
    <w:rsid w:val="00F06B4F"/>
    <w:rsid w:val="00F26433"/>
    <w:rsid w:val="00F7561E"/>
    <w:rsid w:val="00FD5600"/>
    <w:rsid w:val="00FF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287AF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573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573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3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37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73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73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/Users/rachelvancourt/Dropbox/Seri%20file/toxicology%20graphics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/Users/rachelvancourt/Dropbox/Seri%20file/toxicology%20graphic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2393614048959"/>
          <c:y val="7.2442294558912004E-2"/>
          <c:w val="0.82918921528719503"/>
          <c:h val="0.699749230009259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'Disfigurement Figures'!$B$4</c:f>
              <c:strCache>
                <c:ptCount val="1"/>
                <c:pt idx="0">
                  <c:v>C. aeruginosa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2DF3-AE46-A941-DC9B797BAE41}"/>
                </c:ext>
              </c:extLst>
            </c:dLbl>
            <c:dLbl>
              <c:idx val="1"/>
              <c:layout>
                <c:manualLayout>
                  <c:x val="1.0558069381598799E-2"/>
                  <c:y val="2.01612903225806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DF3-AE46-A941-DC9B797BAE41}"/>
                </c:ext>
              </c:extLst>
            </c:dLbl>
            <c:dLbl>
              <c:idx val="5"/>
              <c:layout>
                <c:manualLayout>
                  <c:x val="1.05580693815987E-2"/>
                  <c:y val="2.01612903225806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DF3-AE46-A941-DC9B797BAE41}"/>
                </c:ext>
              </c:extLst>
            </c:dLbl>
            <c:dLbl>
              <c:idx val="7"/>
              <c:layout>
                <c:manualLayout>
                  <c:x val="2.7149321266968299E-2"/>
                  <c:y val="2.016129032258060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DF3-AE46-A941-DC9B797BAE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'Disfigurement Figures'!$C$2:$J$3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Aspen Media, 100% Standard</c:v>
                  </c:pt>
                  <c:pt idx="2">
                    <c:v>Maple Media, 100% Standard</c:v>
                  </c:pt>
                  <c:pt idx="4">
                    <c:v>Maple Media, 200% Standard</c:v>
                  </c:pt>
                  <c:pt idx="6">
                    <c:v>Maple Media, 400% Standard</c:v>
                  </c:pt>
                </c:lvl>
              </c:multiLvlStrCache>
            </c:multiLvlStrRef>
          </c:cat>
          <c:val>
            <c:numRef>
              <c:f>'Disfigurement Figures'!$C$4:$J$4</c:f>
              <c:numCache>
                <c:formatCode>0%</c:formatCode>
                <c:ptCount val="8"/>
                <c:pt idx="0">
                  <c:v>0</c:v>
                </c:pt>
                <c:pt idx="1">
                  <c:v>1</c:v>
                </c:pt>
                <c:pt idx="2">
                  <c:v>0.36</c:v>
                </c:pt>
                <c:pt idx="3">
                  <c:v>0.98</c:v>
                </c:pt>
                <c:pt idx="4">
                  <c:v>0.56000000000000005</c:v>
                </c:pt>
                <c:pt idx="5">
                  <c:v>1</c:v>
                </c:pt>
                <c:pt idx="6">
                  <c:v>0.5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DF3-AE46-A941-DC9B797BAE41}"/>
            </c:ext>
          </c:extLst>
        </c:ser>
        <c:ser>
          <c:idx val="1"/>
          <c:order val="1"/>
          <c:tx>
            <c:strRef>
              <c:f>'Disfigurement Figures'!$B$5</c:f>
              <c:strCache>
                <c:ptCount val="1"/>
                <c:pt idx="0">
                  <c:v>C. aeruginascens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2DF3-AE46-A941-DC9B797BAE41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DF3-AE46-A941-DC9B797BAE41}"/>
                </c:ext>
              </c:extLst>
            </c:dLbl>
            <c:dLbl>
              <c:idx val="3"/>
              <c:layout>
                <c:manualLayout>
                  <c:x val="2.4353452279536801E-2"/>
                  <c:y val="2.9145392858894799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7898289761302595E-2"/>
                      <c:h val="7.8939560068040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2DF3-AE46-A941-DC9B797BAE41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DF3-AE46-A941-DC9B797BAE41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DF3-AE46-A941-DC9B797BAE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Figures'!$C$2:$J$3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Aspen Media, 100% Standard</c:v>
                  </c:pt>
                  <c:pt idx="2">
                    <c:v>Maple Media, 100% Standard</c:v>
                  </c:pt>
                  <c:pt idx="4">
                    <c:v>Maple Media, 200% Standard</c:v>
                  </c:pt>
                  <c:pt idx="6">
                    <c:v>Maple Media, 400% Standard</c:v>
                  </c:pt>
                </c:lvl>
              </c:multiLvlStrCache>
            </c:multiLvlStrRef>
          </c:cat>
          <c:val>
            <c:numRef>
              <c:f>'Disfigurement Figures'!$C$5:$J$5</c:f>
              <c:numCache>
                <c:formatCode>0%</c:formatCode>
                <c:ptCount val="8"/>
                <c:pt idx="0">
                  <c:v>0</c:v>
                </c:pt>
                <c:pt idx="1">
                  <c:v>1</c:v>
                </c:pt>
                <c:pt idx="2">
                  <c:v>0.56999999999999995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0.57999999999999996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DF3-AE46-A941-DC9B797BAE41}"/>
            </c:ext>
          </c:extLst>
        </c:ser>
        <c:ser>
          <c:idx val="2"/>
          <c:order val="2"/>
          <c:tx>
            <c:strRef>
              <c:f>'Disfigurement Figures'!$B$6</c:f>
              <c:strCache>
                <c:ptCount val="1"/>
                <c:pt idx="0">
                  <c:v>S. cuboideum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B-2DF3-AE46-A941-DC9B797BAE41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DF3-AE46-A941-DC9B797BAE41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DF3-AE46-A941-DC9B797BAE41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DF3-AE46-A941-DC9B797BAE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Figures'!$C$2:$J$3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Aspen Media, 100% Standard</c:v>
                  </c:pt>
                  <c:pt idx="2">
                    <c:v>Maple Media, 100% Standard</c:v>
                  </c:pt>
                  <c:pt idx="4">
                    <c:v>Maple Media, 200% Standard</c:v>
                  </c:pt>
                  <c:pt idx="6">
                    <c:v>Maple Media, 400% Standard</c:v>
                  </c:pt>
                </c:lvl>
              </c:multiLvlStrCache>
            </c:multiLvlStrRef>
          </c:cat>
          <c:val>
            <c:numRef>
              <c:f>'Disfigurement Figures'!$C$6:$J$6</c:f>
              <c:numCache>
                <c:formatCode>0%</c:formatCode>
                <c:ptCount val="8"/>
                <c:pt idx="0">
                  <c:v>0</c:v>
                </c:pt>
                <c:pt idx="1">
                  <c:v>0.46</c:v>
                </c:pt>
                <c:pt idx="2">
                  <c:v>0</c:v>
                </c:pt>
                <c:pt idx="3">
                  <c:v>0</c:v>
                </c:pt>
                <c:pt idx="4">
                  <c:v>0.25</c:v>
                </c:pt>
                <c:pt idx="5">
                  <c:v>0.92</c:v>
                </c:pt>
                <c:pt idx="6">
                  <c:v>0.66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F-2DF3-AE46-A941-DC9B797BAE4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1210176096"/>
        <c:axId val="-1238469344"/>
      </c:barChart>
      <c:catAx>
        <c:axId val="-121017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38469344"/>
        <c:crosses val="autoZero"/>
        <c:auto val="1"/>
        <c:lblAlgn val="ctr"/>
        <c:lblOffset val="100"/>
        <c:noMultiLvlLbl val="0"/>
      </c:catAx>
      <c:valAx>
        <c:axId val="-1238469344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900" b="0" i="0" baseline="0">
                    <a:effectLst/>
                  </a:rPr>
                  <a:t>Percent  of Embroys Showing Sublethal Effects</a:t>
                </a:r>
                <a:endParaRPr lang="en-US" sz="900">
                  <a:effectLst/>
                </a:endParaRPr>
              </a:p>
            </c:rich>
          </c:tx>
          <c:layout>
            <c:manualLayout>
              <c:xMode val="edge"/>
              <c:yMode val="edge"/>
              <c:x val="3.3704944121803797E-2"/>
              <c:y val="0.15693691262382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in"/>
        <c:minorTickMark val="none"/>
        <c:tickLblPos val="nextTo"/>
        <c:spPr>
          <a:noFill/>
          <a:ln>
            <a:solidFill>
              <a:srgbClr val="E7E6E6">
                <a:lumMod val="90000"/>
              </a:srgb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101760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7174241970992"/>
          <c:y val="5.18731988472622E-2"/>
          <c:w val="0.82440866844072602"/>
          <c:h val="0.715092057793293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'Disfigurement Figures'!$B$12</c:f>
              <c:strCache>
                <c:ptCount val="1"/>
                <c:pt idx="0">
                  <c:v>C. aeruginosa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D695-A549-B0E9-D003F206AC7C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D695-A549-B0E9-D003F206AC7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D695-A549-B0E9-D003F206AC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Figures'!$C$12:$J$12</c:f>
              <c:numCache>
                <c:formatCode>0%</c:formatCode>
                <c:ptCount val="8"/>
                <c:pt idx="0">
                  <c:v>0</c:v>
                </c:pt>
                <c:pt idx="1">
                  <c:v>0.5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695-A549-B0E9-D003F206AC7C}"/>
            </c:ext>
          </c:extLst>
        </c:ser>
        <c:ser>
          <c:idx val="1"/>
          <c:order val="1"/>
          <c:tx>
            <c:strRef>
              <c:f>'Disfigurement Figures'!$B$13</c:f>
              <c:strCache>
                <c:ptCount val="1"/>
                <c:pt idx="0">
                  <c:v>C. aeruginascens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D695-A549-B0E9-D003F206AC7C}"/>
                </c:ext>
              </c:extLst>
            </c:dLbl>
            <c:dLbl>
              <c:idx val="1"/>
              <c:layout>
                <c:manualLayout>
                  <c:x val="2.111613876319759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695-A549-B0E9-D003F206AC7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695-A549-B0E9-D003F206AC7C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695-A549-B0E9-D003F206AC7C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695-A549-B0E9-D003F206AC7C}"/>
                </c:ext>
              </c:extLst>
            </c:dLbl>
            <c:dLbl>
              <c:idx val="7"/>
              <c:layout>
                <c:manualLayout>
                  <c:x val="4.1845611716771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D695-A549-B0E9-D003F206AC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Figures'!$C$13:$J$13</c:f>
              <c:numCache>
                <c:formatCode>0%</c:formatCode>
                <c:ptCount val="8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0.71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695-A549-B0E9-D003F206AC7C}"/>
            </c:ext>
          </c:extLst>
        </c:ser>
        <c:ser>
          <c:idx val="2"/>
          <c:order val="2"/>
          <c:tx>
            <c:strRef>
              <c:f>'Disfigurement Figures'!$B$14</c:f>
              <c:strCache>
                <c:ptCount val="1"/>
                <c:pt idx="0">
                  <c:v>S. cuboideum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D695-A549-B0E9-D003F206AC7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D695-A549-B0E9-D003F206AC7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D695-A549-B0E9-D003F206AC7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D695-A549-B0E9-D003F206AC7C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D695-A549-B0E9-D003F206AC7C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D695-A549-B0E9-D003F206AC7C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D695-A549-B0E9-D003F206AC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Figures'!$C$14:$J$14</c:f>
              <c:numCache>
                <c:formatCode>0%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D695-A549-B0E9-D003F206AC7C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1241392800"/>
        <c:axId val="-1236630272"/>
      </c:barChart>
      <c:catAx>
        <c:axId val="-1241392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36630272"/>
        <c:crosses val="autoZero"/>
        <c:auto val="1"/>
        <c:lblAlgn val="ctr"/>
        <c:lblOffset val="100"/>
        <c:noMultiLvlLbl val="0"/>
      </c:catAx>
      <c:valAx>
        <c:axId val="-1236630272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Percent </a:t>
                </a:r>
                <a:r>
                  <a:rPr lang="en-US" sz="1200" baseline="0"/>
                  <a:t> of Fish Showing Sublethal Effects</a:t>
                </a:r>
                <a:endParaRPr 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in"/>
        <c:minorTickMark val="none"/>
        <c:tickLblPos val="nextTo"/>
        <c:spPr>
          <a:noFill/>
          <a:ln>
            <a:solidFill>
              <a:srgbClr val="E7E6E6">
                <a:lumMod val="90000"/>
              </a:srgb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41392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636767777665101"/>
          <c:y val="0.93014390040623196"/>
          <c:w val="0.74726447102932703"/>
          <c:h val="6.985609959376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DengXian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DengXian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DengXian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DengXian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Court, Ray</dc:creator>
  <cp:keywords/>
  <dc:description/>
  <cp:lastModifiedBy>Van Court, Ray</cp:lastModifiedBy>
  <cp:revision>5</cp:revision>
  <dcterms:created xsi:type="dcterms:W3CDTF">2020-11-30T20:44:00Z</dcterms:created>
  <dcterms:modified xsi:type="dcterms:W3CDTF">2021-02-01T22:38:00Z</dcterms:modified>
</cp:coreProperties>
</file>