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42E12" w14:textId="77777777" w:rsidR="00DD2703" w:rsidRDefault="00DD2703" w:rsidP="00DD2703">
      <w:pPr>
        <w:rPr>
          <w:rFonts w:cstheme="minorHAnsi"/>
          <w:sz w:val="22"/>
          <w:szCs w:val="22"/>
        </w:rPr>
      </w:pPr>
      <w:r>
        <w:rPr>
          <w:noProof/>
        </w:rPr>
        <w:drawing>
          <wp:inline distT="0" distB="0" distL="0" distR="0" wp14:anchorId="24B190EB" wp14:editId="4FED3531">
            <wp:extent cx="5766435" cy="3431540"/>
            <wp:effectExtent l="0" t="0" r="12065" b="1016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081F9C" w14:textId="77777777" w:rsidR="00DD2703" w:rsidRPr="00793738" w:rsidRDefault="00DD2703" w:rsidP="00DD2703">
      <w:pPr>
        <w:rPr>
          <w:rFonts w:ascii="Palatino Linotype" w:hAnsi="Palatino Linotype" w:cstheme="minorHAnsi"/>
          <w:sz w:val="18"/>
          <w:szCs w:val="18"/>
        </w:rPr>
      </w:pPr>
      <w:r w:rsidRPr="00793738">
        <w:rPr>
          <w:rFonts w:ascii="Palatino Linotype" w:hAnsi="Palatino Linotype" w:cstheme="minorHAnsi"/>
          <w:sz w:val="18"/>
          <w:szCs w:val="18"/>
        </w:rPr>
        <w:t xml:space="preserve">Figure S2. Percent of Embryos Showing Sublethal Effects After Exposure to Pigments from Fungi Grown in Liquid Media at 24 and 120 </w:t>
      </w:r>
      <w:proofErr w:type="spellStart"/>
      <w:r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Pr="00793738">
        <w:rPr>
          <w:rFonts w:ascii="Palatino Linotype" w:hAnsi="Palatino Linotype" w:cstheme="minorHAnsi"/>
          <w:sz w:val="18"/>
          <w:szCs w:val="18"/>
        </w:rPr>
        <w:t xml:space="preserve">. Zeros indicate there were no sublethal effects in that condition Lack of sublethal deformation information for </w:t>
      </w:r>
      <w:r w:rsidRPr="00793738">
        <w:rPr>
          <w:rFonts w:ascii="Palatino Linotype" w:hAnsi="Palatino Linotype" w:cstheme="minorHAnsi"/>
          <w:i/>
          <w:sz w:val="18"/>
          <w:szCs w:val="18"/>
        </w:rPr>
        <w:t>S. cuboideum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and </w:t>
      </w:r>
      <w:r w:rsidRPr="00793738">
        <w:rPr>
          <w:rFonts w:ascii="Palatino Linotype" w:hAnsi="Palatino Linotype" w:cstheme="minorHAnsi"/>
          <w:i/>
          <w:sz w:val="18"/>
          <w:szCs w:val="18"/>
        </w:rPr>
        <w:t>S. ganodermophthorum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in live and sterilized media, and </w:t>
      </w:r>
      <w:r w:rsidRPr="00793738">
        <w:rPr>
          <w:rFonts w:ascii="Palatino Linotype" w:hAnsi="Palatino Linotype" w:cstheme="minorHAnsi"/>
          <w:i/>
          <w:sz w:val="18"/>
          <w:szCs w:val="18"/>
        </w:rPr>
        <w:t>S. cuboideum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filtered media, is due to death of all embryos at 24 </w:t>
      </w:r>
      <w:proofErr w:type="spellStart"/>
      <w:r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Pr="00793738">
        <w:rPr>
          <w:rFonts w:ascii="Palatino Linotype" w:hAnsi="Palatino Linotype" w:cstheme="minorHAnsi"/>
          <w:sz w:val="18"/>
          <w:szCs w:val="18"/>
        </w:rPr>
        <w:t xml:space="preserve">. High levels of sublethal deformations were seen at 120 </w:t>
      </w:r>
      <w:proofErr w:type="spellStart"/>
      <w:r w:rsidRPr="00793738">
        <w:rPr>
          <w:rFonts w:ascii="Palatino Linotype" w:hAnsi="Palatino Linotype" w:cstheme="minorHAnsi"/>
          <w:sz w:val="18"/>
          <w:szCs w:val="18"/>
        </w:rPr>
        <w:t>hpf</w:t>
      </w:r>
      <w:proofErr w:type="spellEnd"/>
      <w:r w:rsidRPr="00793738">
        <w:rPr>
          <w:rFonts w:ascii="Palatino Linotype" w:hAnsi="Palatino Linotype" w:cstheme="minorHAnsi"/>
          <w:sz w:val="18"/>
          <w:szCs w:val="18"/>
        </w:rPr>
        <w:t xml:space="preserve"> for </w:t>
      </w:r>
      <w:r w:rsidRPr="00793738">
        <w:rPr>
          <w:rFonts w:ascii="Palatino Linotype" w:hAnsi="Palatino Linotype" w:cstheme="minorHAnsi"/>
          <w:i/>
          <w:sz w:val="18"/>
          <w:szCs w:val="18"/>
        </w:rPr>
        <w:t>Chlorociboria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species, whereas </w:t>
      </w:r>
      <w:r w:rsidRPr="00793738">
        <w:rPr>
          <w:rFonts w:ascii="Palatino Linotype" w:hAnsi="Palatino Linotype" w:cstheme="minorHAnsi"/>
          <w:i/>
          <w:sz w:val="18"/>
          <w:szCs w:val="18"/>
        </w:rPr>
        <w:t>Scytalidium</w:t>
      </w:r>
      <w:r w:rsidRPr="00793738">
        <w:rPr>
          <w:rFonts w:ascii="Palatino Linotype" w:hAnsi="Palatino Linotype" w:cstheme="minorHAnsi"/>
          <w:sz w:val="18"/>
          <w:szCs w:val="18"/>
        </w:rPr>
        <w:t xml:space="preserve"> species were associated with such a high level of mortality that sublethal effects could not be measured under many conditions. </w:t>
      </w:r>
    </w:p>
    <w:p w14:paraId="4BF78A37" w14:textId="77777777" w:rsidR="00377E39" w:rsidRDefault="00377E39"/>
    <w:sectPr w:rsidR="00377E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03"/>
    <w:rsid w:val="00037F1D"/>
    <w:rsid w:val="00085818"/>
    <w:rsid w:val="000B6E27"/>
    <w:rsid w:val="001546F1"/>
    <w:rsid w:val="001552B5"/>
    <w:rsid w:val="001565AF"/>
    <w:rsid w:val="002B1F85"/>
    <w:rsid w:val="00377E39"/>
    <w:rsid w:val="004A74FB"/>
    <w:rsid w:val="008245EA"/>
    <w:rsid w:val="00932505"/>
    <w:rsid w:val="009B6F5C"/>
    <w:rsid w:val="009E787D"/>
    <w:rsid w:val="00B00ECE"/>
    <w:rsid w:val="00B93E55"/>
    <w:rsid w:val="00DD2703"/>
    <w:rsid w:val="00DD7202"/>
    <w:rsid w:val="00F05B64"/>
    <w:rsid w:val="00FC3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D33B14"/>
  <w15:chartTrackingRefBased/>
  <w15:docId w15:val="{C7E5D6CF-B29A-9E4E-B1FC-613D7222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7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/Users/rachelvancourt/Dropbox/Seri%20file/toxicology%20graphic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7174241970992"/>
          <c:y val="5.18731988472622E-2"/>
          <c:w val="0.82440866844072602"/>
          <c:h val="0.7150920577932939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'Disfigurement Figures'!$B$12</c:f>
              <c:strCache>
                <c:ptCount val="1"/>
                <c:pt idx="0">
                  <c:v>C. aeruginosa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B8BC-A041-9DAC-8DD44FB7B755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B8BC-A041-9DAC-8DD44FB7B75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B8BC-A041-9DAC-8DD44FB7B7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multiLvlStrRef>
              <c:f>'Disfigurement Figures'!$C$10:$J$11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Live Media</c:v>
                  </c:pt>
                  <c:pt idx="2">
                    <c:v>Sterilized Media</c:v>
                  </c:pt>
                  <c:pt idx="4">
                    <c:v>Filtered Media</c:v>
                  </c:pt>
                  <c:pt idx="6">
                    <c:v>SPE Purified Media</c:v>
                  </c:pt>
                </c:lvl>
              </c:multiLvlStrCache>
            </c:multiLvlStrRef>
          </c:cat>
          <c:val>
            <c:numRef>
              <c:f>'Disfigurement Figures'!$C$12:$J$12</c:f>
              <c:numCache>
                <c:formatCode>0%</c:formatCode>
                <c:ptCount val="8"/>
                <c:pt idx="0">
                  <c:v>0</c:v>
                </c:pt>
                <c:pt idx="1">
                  <c:v>0.5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  <c:pt idx="5">
                  <c:v>1</c:v>
                </c:pt>
                <c:pt idx="6">
                  <c:v>1</c:v>
                </c:pt>
                <c:pt idx="7">
                  <c:v>0.97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8BC-A041-9DAC-8DD44FB7B755}"/>
            </c:ext>
          </c:extLst>
        </c:ser>
        <c:ser>
          <c:idx val="1"/>
          <c:order val="1"/>
          <c:tx>
            <c:strRef>
              <c:f>'Disfigurement Figures'!$B$13</c:f>
              <c:strCache>
                <c:ptCount val="1"/>
                <c:pt idx="0">
                  <c:v>C. aeruginascens</c:v>
                </c:pt>
              </c:strCache>
            </c:strRef>
          </c:tx>
          <c:spPr>
            <a:solidFill>
              <a:srgbClr val="70AD47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B8BC-A041-9DAC-8DD44FB7B755}"/>
                </c:ext>
              </c:extLst>
            </c:dLbl>
            <c:dLbl>
              <c:idx val="1"/>
              <c:layout>
                <c:manualLayout>
                  <c:x val="2.1116138763197598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8BC-A041-9DAC-8DD44FB7B755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8BC-A041-9DAC-8DD44FB7B755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8BC-A041-9DAC-8DD44FB7B755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8BC-A041-9DAC-8DD44FB7B755}"/>
                </c:ext>
              </c:extLst>
            </c:dLbl>
            <c:dLbl>
              <c:idx val="7"/>
              <c:layout>
                <c:manualLayout>
                  <c:x val="4.18456117167713E-2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8BC-A041-9DAC-8DD44FB7B7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'Disfigurement Figures'!$C$10:$J$11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Live Media</c:v>
                  </c:pt>
                  <c:pt idx="2">
                    <c:v>Sterilized Media</c:v>
                  </c:pt>
                  <c:pt idx="4">
                    <c:v>Filtered Media</c:v>
                  </c:pt>
                  <c:pt idx="6">
                    <c:v>SPE Purified Media</c:v>
                  </c:pt>
                </c:lvl>
              </c:multiLvlStrCache>
            </c:multiLvlStrRef>
          </c:cat>
          <c:val>
            <c:numRef>
              <c:f>'Disfigurement Figures'!$C$13:$J$13</c:f>
              <c:numCache>
                <c:formatCode>0%</c:formatCode>
                <c:ptCount val="8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0.71</c:v>
                </c:pt>
                <c:pt idx="5">
                  <c:v>1</c:v>
                </c:pt>
                <c:pt idx="6">
                  <c:v>1</c:v>
                </c:pt>
                <c:pt idx="7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B8BC-A041-9DAC-8DD44FB7B755}"/>
            </c:ext>
          </c:extLst>
        </c:ser>
        <c:ser>
          <c:idx val="2"/>
          <c:order val="2"/>
          <c:tx>
            <c:strRef>
              <c:f>'Disfigurement Figures'!$B$14</c:f>
              <c:strCache>
                <c:ptCount val="1"/>
                <c:pt idx="0">
                  <c:v>S. cuboideum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8BC-A041-9DAC-8DD44FB7B755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8BC-A041-9DAC-8DD44FB7B755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B8BC-A041-9DAC-8DD44FB7B755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B8BC-A041-9DAC-8DD44FB7B755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F-B8BC-A041-9DAC-8DD44FB7B755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B8BC-A041-9DAC-8DD44FB7B755}"/>
                </c:ext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11-B8BC-A041-9DAC-8DD44FB7B75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'Disfigurement Figures'!$C$10:$J$11</c:f>
              <c:multiLvlStrCache>
                <c:ptCount val="8"/>
                <c:lvl>
                  <c:pt idx="0">
                    <c:v>24 hpf</c:v>
                  </c:pt>
                  <c:pt idx="1">
                    <c:v>120 hpf</c:v>
                  </c:pt>
                  <c:pt idx="2">
                    <c:v>24 hpf</c:v>
                  </c:pt>
                  <c:pt idx="3">
                    <c:v>120 hpf</c:v>
                  </c:pt>
                  <c:pt idx="4">
                    <c:v>24 hpf</c:v>
                  </c:pt>
                  <c:pt idx="5">
                    <c:v>120 hpf</c:v>
                  </c:pt>
                  <c:pt idx="6">
                    <c:v>24 hpf</c:v>
                  </c:pt>
                  <c:pt idx="7">
                    <c:v>120 hpf</c:v>
                  </c:pt>
                </c:lvl>
                <c:lvl>
                  <c:pt idx="0">
                    <c:v>Live Media</c:v>
                  </c:pt>
                  <c:pt idx="2">
                    <c:v>Sterilized Media</c:v>
                  </c:pt>
                  <c:pt idx="4">
                    <c:v>Filtered Media</c:v>
                  </c:pt>
                  <c:pt idx="6">
                    <c:v>SPE Purified Media</c:v>
                  </c:pt>
                </c:lvl>
              </c:multiLvlStrCache>
            </c:multiLvlStrRef>
          </c:cat>
          <c:val>
            <c:numRef>
              <c:f>'Disfigurement Figures'!$C$14:$J$14</c:f>
              <c:numCache>
                <c:formatCode>0%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0.85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2-B8BC-A041-9DAC-8DD44FB7B75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1241392800"/>
        <c:axId val="-1236630272"/>
      </c:barChart>
      <c:catAx>
        <c:axId val="-1241392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rgbClr val="E7E6E6">
                <a:lumMod val="90000"/>
              </a:srgb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236630272"/>
        <c:crosses val="autoZero"/>
        <c:auto val="1"/>
        <c:lblAlgn val="ctr"/>
        <c:lblOffset val="100"/>
        <c:noMultiLvlLbl val="0"/>
      </c:catAx>
      <c:valAx>
        <c:axId val="-1236630272"/>
        <c:scaling>
          <c:orientation val="minMax"/>
          <c:max val="1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200"/>
                  <a:t>Percent </a:t>
                </a:r>
                <a:r>
                  <a:rPr lang="en-US" sz="1200" baseline="0"/>
                  <a:t> of Fish Showing Sublethal Effects</a:t>
                </a:r>
                <a:endParaRPr lang="en-US" sz="1200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%" sourceLinked="0"/>
        <c:majorTickMark val="in"/>
        <c:minorTickMark val="none"/>
        <c:tickLblPos val="nextTo"/>
        <c:spPr>
          <a:noFill/>
          <a:ln>
            <a:solidFill>
              <a:srgbClr val="E7E6E6">
                <a:lumMod val="90000"/>
              </a:srgb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1241392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636767777665101"/>
          <c:y val="0.93014390040623196"/>
          <c:w val="0.74726447102932703"/>
          <c:h val="6.9856099593768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1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Yu Gothic Light"/>
      <a:font script="Hang" typeface="맑은 고딕"/>
      <a:font script="Hans" typeface="DengXian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Yu Gothic"/>
      <a:font script="Hang" typeface="맑은 고딕"/>
      <a:font script="Hans" typeface="DengXian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Court, Ray</dc:creator>
  <cp:keywords/>
  <dc:description/>
  <cp:lastModifiedBy>Van Court, Ray</cp:lastModifiedBy>
  <cp:revision>2</cp:revision>
  <dcterms:created xsi:type="dcterms:W3CDTF">2020-11-30T20:50:00Z</dcterms:created>
  <dcterms:modified xsi:type="dcterms:W3CDTF">2021-02-01T22:37:00Z</dcterms:modified>
</cp:coreProperties>
</file>