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0399C" w14:textId="77777777" w:rsidR="00B14C66" w:rsidRDefault="00B14C66" w:rsidP="00846D11">
      <w:pPr>
        <w:spacing w:line="240" w:lineRule="auto"/>
        <w:jc w:val="center"/>
        <w:rPr>
          <w:b/>
          <w:bCs/>
          <w:szCs w:val="24"/>
          <w:shd w:val="clear" w:color="auto" w:fill="FFFFFF"/>
          <w:lang w:val="en-AU" w:eastAsia="en-AU"/>
        </w:rPr>
      </w:pPr>
      <w:r w:rsidRPr="00B14C66">
        <w:rPr>
          <w:b/>
          <w:bCs/>
          <w:szCs w:val="24"/>
          <w:shd w:val="clear" w:color="auto" w:fill="FFFFFF"/>
          <w:lang w:val="en-AU" w:eastAsia="en-AU"/>
        </w:rPr>
        <w:t>Table S</w:t>
      </w:r>
      <w:r w:rsidR="008900BE">
        <w:rPr>
          <w:b/>
          <w:bCs/>
          <w:szCs w:val="24"/>
          <w:shd w:val="clear" w:color="auto" w:fill="FFFFFF"/>
          <w:lang w:val="en-AU" w:eastAsia="en-AU"/>
        </w:rPr>
        <w:t>3</w:t>
      </w:r>
      <w:r w:rsidRPr="00B14C66">
        <w:rPr>
          <w:b/>
          <w:bCs/>
          <w:szCs w:val="24"/>
          <w:shd w:val="clear" w:color="auto" w:fill="FFFFFF"/>
          <w:lang w:val="en-AU" w:eastAsia="en-AU"/>
        </w:rPr>
        <w:t xml:space="preserve">. </w:t>
      </w:r>
      <w:r w:rsidR="002C601F">
        <w:rPr>
          <w:b/>
          <w:bCs/>
          <w:szCs w:val="24"/>
          <w:shd w:val="clear" w:color="auto" w:fill="FFFFFF"/>
          <w:lang w:val="en-AU" w:eastAsia="en-AU"/>
        </w:rPr>
        <w:t xml:space="preserve">Chikungunya and Mayaro </w:t>
      </w:r>
      <w:proofErr w:type="gramStart"/>
      <w:r w:rsidR="002C601F">
        <w:rPr>
          <w:b/>
          <w:bCs/>
          <w:szCs w:val="24"/>
          <w:shd w:val="clear" w:color="auto" w:fill="FFFFFF"/>
          <w:lang w:val="en-AU" w:eastAsia="en-AU"/>
        </w:rPr>
        <w:t>viruses</w:t>
      </w:r>
      <w:proofErr w:type="gramEnd"/>
      <w:r w:rsidRPr="00B14C66">
        <w:rPr>
          <w:b/>
          <w:bCs/>
          <w:szCs w:val="24"/>
          <w:shd w:val="clear" w:color="auto" w:fill="FFFFFF"/>
          <w:lang w:val="en-AU" w:eastAsia="en-AU"/>
        </w:rPr>
        <w:t xml:space="preserve"> distribution throughout the years.</w:t>
      </w:r>
    </w:p>
    <w:p w14:paraId="591F096F" w14:textId="77777777" w:rsidR="00846D11" w:rsidRPr="00B14C66" w:rsidRDefault="00846D11" w:rsidP="00846D11">
      <w:pPr>
        <w:spacing w:line="240" w:lineRule="auto"/>
        <w:jc w:val="center"/>
        <w:rPr>
          <w:color w:val="auto"/>
          <w:szCs w:val="24"/>
          <w:lang w:val="en-AU" w:eastAsia="en-AU"/>
        </w:rPr>
      </w:pPr>
    </w:p>
    <w:tbl>
      <w:tblPr>
        <w:tblW w:w="8293" w:type="dxa"/>
        <w:jc w:val="center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2"/>
        <w:gridCol w:w="754"/>
        <w:gridCol w:w="754"/>
        <w:gridCol w:w="680"/>
        <w:gridCol w:w="754"/>
        <w:gridCol w:w="754"/>
        <w:gridCol w:w="1155"/>
        <w:gridCol w:w="40"/>
      </w:tblGrid>
      <w:tr w:rsidR="00424108" w:rsidRPr="005900A2" w14:paraId="1E755BD7" w14:textId="77777777" w:rsidTr="004A641F">
        <w:trPr>
          <w:trHeight w:val="348"/>
          <w:jc w:val="center"/>
        </w:trPr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9D985" w14:textId="77777777" w:rsidR="005900A2" w:rsidRPr="00B14C66" w:rsidRDefault="005900A2" w:rsidP="00846D11">
            <w:pPr>
              <w:spacing w:line="240" w:lineRule="auto"/>
              <w:jc w:val="left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Virus/year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A6FE5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2014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3A751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2015</w:t>
            </w:r>
          </w:p>
        </w:tc>
        <w:tc>
          <w:tcPr>
            <w:tcW w:w="68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6A378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2016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A12A6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2017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A6544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2018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B9806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TOTAL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0F41278" w14:textId="77777777" w:rsidR="005900A2" w:rsidRPr="005900A2" w:rsidRDefault="005900A2" w:rsidP="00846D11">
            <w:pPr>
              <w:spacing w:line="240" w:lineRule="auto"/>
              <w:jc w:val="center"/>
              <w:rPr>
                <w:b/>
                <w:bCs/>
                <w:szCs w:val="24"/>
                <w:shd w:val="clear" w:color="auto" w:fill="FFFFFF"/>
                <w:lang w:val="en-AU" w:eastAsia="en-AU"/>
              </w:rPr>
            </w:pPr>
          </w:p>
        </w:tc>
      </w:tr>
      <w:tr w:rsidR="00424108" w:rsidRPr="005900A2" w14:paraId="68E67F21" w14:textId="77777777" w:rsidTr="004A641F">
        <w:trPr>
          <w:trHeight w:val="16"/>
          <w:jc w:val="center"/>
        </w:trPr>
        <w:tc>
          <w:tcPr>
            <w:tcW w:w="3402" w:type="dxa"/>
            <w:tcBorders>
              <w:top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50FD35" w14:textId="77777777" w:rsidR="005900A2" w:rsidRPr="00B14C66" w:rsidRDefault="005900A2" w:rsidP="00846D11">
            <w:pPr>
              <w:spacing w:line="240" w:lineRule="auto"/>
              <w:jc w:val="left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Tested samples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0E9347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92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34C709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59</w:t>
            </w:r>
          </w:p>
        </w:tc>
        <w:tc>
          <w:tcPr>
            <w:tcW w:w="680" w:type="dxa"/>
            <w:tcBorders>
              <w:top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C47F9C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10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604742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147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A82AB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46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93D633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354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FFFFFF" w:themeFill="background1"/>
          </w:tcPr>
          <w:p w14:paraId="2B8D5AF0" w14:textId="77777777" w:rsidR="005900A2" w:rsidRPr="005900A2" w:rsidRDefault="005900A2" w:rsidP="00846D11">
            <w:pPr>
              <w:spacing w:line="240" w:lineRule="auto"/>
              <w:jc w:val="center"/>
              <w:rPr>
                <w:b/>
                <w:bCs/>
                <w:szCs w:val="24"/>
                <w:shd w:val="clear" w:color="auto" w:fill="FFFFFF"/>
                <w:lang w:val="en-AU" w:eastAsia="en-AU"/>
              </w:rPr>
            </w:pPr>
          </w:p>
        </w:tc>
      </w:tr>
      <w:tr w:rsidR="00424108" w:rsidRPr="005900A2" w14:paraId="6C74AE87" w14:textId="77777777" w:rsidTr="004A641F">
        <w:trPr>
          <w:trHeight w:val="16"/>
          <w:jc w:val="center"/>
        </w:trPr>
        <w:tc>
          <w:tcPr>
            <w:tcW w:w="3402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A7FBF0" w14:textId="77777777" w:rsidR="005900A2" w:rsidRPr="00B14C66" w:rsidRDefault="005900A2" w:rsidP="00846D11">
            <w:pPr>
              <w:spacing w:line="240" w:lineRule="auto"/>
              <w:jc w:val="left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Negative samples</w:t>
            </w:r>
          </w:p>
        </w:tc>
        <w:tc>
          <w:tcPr>
            <w:tcW w:w="0" w:type="auto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79160E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62</w:t>
            </w:r>
          </w:p>
        </w:tc>
        <w:tc>
          <w:tcPr>
            <w:tcW w:w="0" w:type="auto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4FF845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35</w:t>
            </w:r>
          </w:p>
        </w:tc>
        <w:tc>
          <w:tcPr>
            <w:tcW w:w="68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F43919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6</w:t>
            </w:r>
          </w:p>
        </w:tc>
        <w:tc>
          <w:tcPr>
            <w:tcW w:w="0" w:type="auto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3F393D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131</w:t>
            </w:r>
          </w:p>
        </w:tc>
        <w:tc>
          <w:tcPr>
            <w:tcW w:w="0" w:type="auto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83CC19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42</w:t>
            </w:r>
          </w:p>
        </w:tc>
        <w:tc>
          <w:tcPr>
            <w:tcW w:w="0" w:type="auto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39CD5A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276</w:t>
            </w:r>
          </w:p>
        </w:tc>
        <w:tc>
          <w:tcPr>
            <w:tcW w:w="0" w:type="auto"/>
            <w:shd w:val="clear" w:color="auto" w:fill="FFFFFF" w:themeFill="background1"/>
          </w:tcPr>
          <w:p w14:paraId="2187A940" w14:textId="77777777" w:rsidR="005900A2" w:rsidRPr="005900A2" w:rsidRDefault="005900A2" w:rsidP="00846D11">
            <w:pPr>
              <w:spacing w:line="240" w:lineRule="auto"/>
              <w:jc w:val="center"/>
              <w:rPr>
                <w:b/>
                <w:bCs/>
                <w:szCs w:val="24"/>
                <w:shd w:val="clear" w:color="auto" w:fill="FFFFFF"/>
                <w:lang w:val="en-AU" w:eastAsia="en-AU"/>
              </w:rPr>
            </w:pPr>
          </w:p>
        </w:tc>
      </w:tr>
      <w:tr w:rsidR="00424108" w:rsidRPr="005900A2" w14:paraId="716B6B51" w14:textId="77777777" w:rsidTr="004A641F">
        <w:trPr>
          <w:trHeight w:val="16"/>
          <w:jc w:val="center"/>
        </w:trPr>
        <w:tc>
          <w:tcPr>
            <w:tcW w:w="3402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5851D0" w14:textId="4BEE15E1" w:rsidR="005900A2" w:rsidRPr="00B14C66" w:rsidRDefault="00424108" w:rsidP="00846D11">
            <w:pPr>
              <w:spacing w:line="240" w:lineRule="auto"/>
              <w:jc w:val="left"/>
              <w:rPr>
                <w:color w:val="auto"/>
                <w:szCs w:val="24"/>
                <w:lang w:val="en-AU" w:eastAsia="en-AU"/>
              </w:rPr>
            </w:pPr>
            <w:r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Arbovirus p</w:t>
            </w:r>
            <w:r w:rsidR="005900A2"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ositive samples</w:t>
            </w:r>
            <w:r w:rsidR="00290A79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*</w:t>
            </w:r>
          </w:p>
        </w:tc>
        <w:tc>
          <w:tcPr>
            <w:tcW w:w="0" w:type="auto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4775D8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30</w:t>
            </w:r>
          </w:p>
        </w:tc>
        <w:tc>
          <w:tcPr>
            <w:tcW w:w="0" w:type="auto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80E525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24</w:t>
            </w:r>
          </w:p>
        </w:tc>
        <w:tc>
          <w:tcPr>
            <w:tcW w:w="68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E371B7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8E58F0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16</w:t>
            </w:r>
          </w:p>
        </w:tc>
        <w:tc>
          <w:tcPr>
            <w:tcW w:w="0" w:type="auto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F6D8C3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E6880F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78</w:t>
            </w:r>
          </w:p>
        </w:tc>
        <w:tc>
          <w:tcPr>
            <w:tcW w:w="0" w:type="auto"/>
            <w:shd w:val="clear" w:color="auto" w:fill="FFFFFF" w:themeFill="background1"/>
          </w:tcPr>
          <w:p w14:paraId="2EFE6B69" w14:textId="77777777" w:rsidR="005900A2" w:rsidRPr="005900A2" w:rsidRDefault="005900A2" w:rsidP="00846D11">
            <w:pPr>
              <w:spacing w:line="240" w:lineRule="auto"/>
              <w:jc w:val="center"/>
              <w:rPr>
                <w:b/>
                <w:bCs/>
                <w:szCs w:val="24"/>
                <w:shd w:val="clear" w:color="auto" w:fill="FFFFFF"/>
                <w:lang w:val="en-AU" w:eastAsia="en-AU"/>
              </w:rPr>
            </w:pPr>
          </w:p>
        </w:tc>
      </w:tr>
      <w:tr w:rsidR="00424108" w:rsidRPr="005900A2" w14:paraId="762DB751" w14:textId="77777777" w:rsidTr="004A641F">
        <w:trPr>
          <w:trHeight w:val="16"/>
          <w:jc w:val="center"/>
        </w:trPr>
        <w:tc>
          <w:tcPr>
            <w:tcW w:w="3402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00E9E7" w14:textId="77777777" w:rsidR="005900A2" w:rsidRPr="00B14C66" w:rsidRDefault="005900A2" w:rsidP="00846D11">
            <w:pPr>
              <w:spacing w:line="240" w:lineRule="auto"/>
              <w:jc w:val="left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szCs w:val="24"/>
                <w:shd w:val="clear" w:color="auto" w:fill="FFFFFF"/>
                <w:lang w:val="en-AU" w:eastAsia="en-AU"/>
              </w:rPr>
              <w:t>MAYV</w:t>
            </w:r>
          </w:p>
        </w:tc>
        <w:tc>
          <w:tcPr>
            <w:tcW w:w="0" w:type="auto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1A16E9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szCs w:val="24"/>
                <w:shd w:val="clear" w:color="auto" w:fill="FFFFFF"/>
                <w:lang w:val="en-AU" w:eastAsia="en-AU"/>
              </w:rPr>
              <w:t>13</w:t>
            </w:r>
          </w:p>
        </w:tc>
        <w:tc>
          <w:tcPr>
            <w:tcW w:w="0" w:type="auto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EDDA3D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szCs w:val="24"/>
                <w:shd w:val="clear" w:color="auto" w:fill="FFFFFF"/>
                <w:lang w:val="en-AU" w:eastAsia="en-AU"/>
              </w:rPr>
              <w:t>10</w:t>
            </w:r>
          </w:p>
        </w:tc>
        <w:tc>
          <w:tcPr>
            <w:tcW w:w="68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DA17B9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szCs w:val="24"/>
                <w:shd w:val="clear" w:color="auto" w:fill="FFFFFF"/>
                <w:lang w:val="en-AU" w:eastAsia="en-AU"/>
              </w:rPr>
              <w:t>4</w:t>
            </w:r>
          </w:p>
        </w:tc>
        <w:tc>
          <w:tcPr>
            <w:tcW w:w="0" w:type="auto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CCEB93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szCs w:val="24"/>
                <w:shd w:val="clear" w:color="auto" w:fill="FFFFFF"/>
                <w:lang w:val="en-AU" w:eastAsia="en-AU"/>
              </w:rPr>
              <w:t>6</w:t>
            </w:r>
          </w:p>
        </w:tc>
        <w:tc>
          <w:tcPr>
            <w:tcW w:w="0" w:type="auto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76384D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szCs w:val="24"/>
                <w:shd w:val="clear" w:color="auto" w:fill="FFFFFF"/>
                <w:lang w:val="en-AU" w:eastAsia="en-A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5AA9E8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33</w:t>
            </w:r>
          </w:p>
        </w:tc>
        <w:tc>
          <w:tcPr>
            <w:tcW w:w="0" w:type="auto"/>
            <w:shd w:val="clear" w:color="auto" w:fill="FFFFFF" w:themeFill="background1"/>
          </w:tcPr>
          <w:p w14:paraId="5134EB24" w14:textId="77777777" w:rsidR="005900A2" w:rsidRPr="005900A2" w:rsidRDefault="005900A2" w:rsidP="00846D11">
            <w:pPr>
              <w:spacing w:line="240" w:lineRule="auto"/>
              <w:jc w:val="center"/>
              <w:rPr>
                <w:b/>
                <w:bCs/>
                <w:szCs w:val="24"/>
                <w:shd w:val="clear" w:color="auto" w:fill="FFFFFF"/>
                <w:lang w:val="en-AU" w:eastAsia="en-AU"/>
              </w:rPr>
            </w:pPr>
          </w:p>
        </w:tc>
      </w:tr>
      <w:tr w:rsidR="00424108" w:rsidRPr="00B14C66" w14:paraId="4BA06A82" w14:textId="77777777" w:rsidTr="004A641F">
        <w:trPr>
          <w:trHeight w:val="16"/>
          <w:jc w:val="center"/>
        </w:trPr>
        <w:tc>
          <w:tcPr>
            <w:tcW w:w="3402" w:type="dxa"/>
            <w:tcBorders>
              <w:bottom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DE8633" w14:textId="77777777" w:rsidR="005900A2" w:rsidRPr="00B14C66" w:rsidRDefault="005900A2" w:rsidP="00846D11">
            <w:pPr>
              <w:spacing w:line="240" w:lineRule="auto"/>
              <w:jc w:val="left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szCs w:val="24"/>
                <w:shd w:val="clear" w:color="auto" w:fill="FFFFFF"/>
                <w:lang w:val="en-AU" w:eastAsia="en-AU"/>
              </w:rPr>
              <w:t>CHIK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CF4265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szCs w:val="24"/>
                <w:shd w:val="clear" w:color="auto" w:fill="FFFFFF"/>
                <w:lang w:val="en-AU" w:eastAsia="en-AU"/>
              </w:rPr>
              <w:t>0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32FDCC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szCs w:val="24"/>
                <w:shd w:val="clear" w:color="auto" w:fill="FFFFFF"/>
                <w:lang w:val="en-AU" w:eastAsia="en-AU"/>
              </w:rPr>
              <w:t>0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3F6488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szCs w:val="24"/>
                <w:shd w:val="clear" w:color="auto" w:fill="FFFFFF"/>
                <w:lang w:val="en-AU" w:eastAsia="en-AU"/>
              </w:rPr>
              <w:t>0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00A50D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szCs w:val="24"/>
                <w:shd w:val="clear" w:color="auto" w:fill="FFFFFF"/>
                <w:lang w:val="en-AU" w:eastAsia="en-AU"/>
              </w:rPr>
              <w:t>0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C8AFED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szCs w:val="24"/>
                <w:shd w:val="clear" w:color="auto" w:fill="FFFFFF"/>
                <w:lang w:val="en-AU" w:eastAsia="en-AU"/>
              </w:rPr>
              <w:t>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11E685" w14:textId="77777777" w:rsidR="005900A2" w:rsidRPr="00B14C66" w:rsidRDefault="005900A2" w:rsidP="00846D11">
            <w:pPr>
              <w:spacing w:line="240" w:lineRule="auto"/>
              <w:jc w:val="center"/>
              <w:rPr>
                <w:color w:val="auto"/>
                <w:szCs w:val="24"/>
                <w:lang w:val="en-AU" w:eastAsia="en-AU"/>
              </w:rPr>
            </w:pPr>
            <w:r w:rsidRPr="00B14C66">
              <w:rPr>
                <w:b/>
                <w:bCs/>
                <w:szCs w:val="24"/>
                <w:shd w:val="clear" w:color="auto" w:fill="FFFFFF"/>
                <w:lang w:val="en-AU" w:eastAsia="en-AU"/>
              </w:rPr>
              <w:t>1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FFFFFF" w:themeFill="background1"/>
          </w:tcPr>
          <w:p w14:paraId="57C56AD6" w14:textId="77777777" w:rsidR="005900A2" w:rsidRPr="005900A2" w:rsidRDefault="005900A2" w:rsidP="00846D11">
            <w:pPr>
              <w:spacing w:line="240" w:lineRule="auto"/>
              <w:jc w:val="center"/>
              <w:rPr>
                <w:b/>
                <w:bCs/>
                <w:szCs w:val="24"/>
                <w:shd w:val="clear" w:color="auto" w:fill="FFFFFF"/>
                <w:lang w:val="en-AU" w:eastAsia="en-AU"/>
              </w:rPr>
            </w:pPr>
          </w:p>
        </w:tc>
      </w:tr>
    </w:tbl>
    <w:p w14:paraId="6422E41A" w14:textId="07CA25FE" w:rsidR="00B14C66" w:rsidRDefault="00B14C66" w:rsidP="00B14C66">
      <w:pPr>
        <w:spacing w:line="240" w:lineRule="auto"/>
      </w:pPr>
    </w:p>
    <w:p w14:paraId="71203F29" w14:textId="4D1B7350" w:rsidR="00290A79" w:rsidRDefault="00290A79" w:rsidP="00B14C66">
      <w:pPr>
        <w:spacing w:line="240" w:lineRule="auto"/>
      </w:pPr>
      <w:r>
        <w:t>*</w:t>
      </w:r>
      <w:r w:rsidR="00EB105D">
        <w:t xml:space="preserve">Results for </w:t>
      </w:r>
      <w:r w:rsidR="004A641F">
        <w:t xml:space="preserve">ZIKV, </w:t>
      </w:r>
      <w:r>
        <w:t xml:space="preserve">DENV, </w:t>
      </w:r>
      <w:r w:rsidR="004A641F">
        <w:t xml:space="preserve">and </w:t>
      </w:r>
      <w:r>
        <w:t>SLEV</w:t>
      </w:r>
      <w:r w:rsidR="004A641F">
        <w:t>,</w:t>
      </w:r>
      <w:r w:rsidR="00AD1A88">
        <w:t xml:space="preserve"> </w:t>
      </w:r>
      <w:r w:rsidR="004A641F">
        <w:t>which</w:t>
      </w:r>
      <w:r>
        <w:t xml:space="preserve"> are discussed </w:t>
      </w:r>
      <w:r w:rsidR="00EB105D">
        <w:t xml:space="preserve">elsewhere </w:t>
      </w:r>
      <w:r w:rsidR="00EB105D" w:rsidRPr="00EB105D">
        <w:t>(</w:t>
      </w:r>
      <w:r w:rsidR="004A641F" w:rsidRPr="00EB105D">
        <w:t>Vieira et al. 2019</w:t>
      </w:r>
      <w:r w:rsidR="004A641F">
        <w:t xml:space="preserve">; </w:t>
      </w:r>
      <w:r w:rsidR="00EB105D" w:rsidRPr="00EB105D">
        <w:t>Kubiszeski et al. 2020</w:t>
      </w:r>
      <w:r w:rsidR="00EB105D">
        <w:t>;</w:t>
      </w:r>
      <w:r w:rsidR="00EB105D" w:rsidRPr="00EB105D">
        <w:t xml:space="preserve"> </w:t>
      </w:r>
      <w:proofErr w:type="spellStart"/>
      <w:r w:rsidR="00EB105D" w:rsidRPr="00EB105D">
        <w:t>Moraes</w:t>
      </w:r>
      <w:proofErr w:type="spellEnd"/>
      <w:r w:rsidR="00EB105D" w:rsidRPr="00EB105D">
        <w:t xml:space="preserve"> et al. 2020</w:t>
      </w:r>
      <w:r w:rsidR="00EB105D">
        <w:t>)</w:t>
      </w:r>
      <w:r w:rsidR="00EB105D" w:rsidRPr="00EB105D">
        <w:t>.</w:t>
      </w:r>
    </w:p>
    <w:p w14:paraId="1B8D8FDD" w14:textId="20D4DDCA" w:rsidR="00EB105D" w:rsidRDefault="00EB105D" w:rsidP="00B14C66">
      <w:pPr>
        <w:spacing w:line="240" w:lineRule="auto"/>
      </w:pPr>
    </w:p>
    <w:p w14:paraId="3DBEFDCE" w14:textId="07B4AC51" w:rsidR="004A641F" w:rsidRDefault="004A641F" w:rsidP="004A641F">
      <w:pPr>
        <w:spacing w:line="240" w:lineRule="auto"/>
        <w:rPr>
          <w:szCs w:val="24"/>
        </w:rPr>
      </w:pPr>
      <w:r w:rsidRPr="004A641F">
        <w:rPr>
          <w:szCs w:val="24"/>
        </w:rPr>
        <w:t xml:space="preserve">Vieira, C.J.S.P.; Machado, L.C.; Pena, L.J.; de </w:t>
      </w:r>
      <w:proofErr w:type="spellStart"/>
      <w:r w:rsidRPr="004A641F">
        <w:rPr>
          <w:szCs w:val="24"/>
        </w:rPr>
        <w:t>Morais</w:t>
      </w:r>
      <w:proofErr w:type="spellEnd"/>
      <w:r w:rsidRPr="004A641F">
        <w:rPr>
          <w:szCs w:val="24"/>
        </w:rPr>
        <w:t xml:space="preserve"> </w:t>
      </w:r>
      <w:proofErr w:type="spellStart"/>
      <w:r w:rsidRPr="004A641F">
        <w:rPr>
          <w:szCs w:val="24"/>
        </w:rPr>
        <w:t>Bronzoni</w:t>
      </w:r>
      <w:proofErr w:type="spellEnd"/>
      <w:r w:rsidRPr="004A641F">
        <w:rPr>
          <w:szCs w:val="24"/>
        </w:rPr>
        <w:t xml:space="preserve">, R.V.; </w:t>
      </w:r>
      <w:proofErr w:type="spellStart"/>
      <w:r w:rsidRPr="004A641F">
        <w:rPr>
          <w:szCs w:val="24"/>
        </w:rPr>
        <w:t>Wallau</w:t>
      </w:r>
      <w:proofErr w:type="spellEnd"/>
      <w:r w:rsidRPr="004A641F">
        <w:rPr>
          <w:szCs w:val="24"/>
        </w:rPr>
        <w:t xml:space="preserve">, G.L. Spread of two </w:t>
      </w:r>
      <w:proofErr w:type="spellStart"/>
      <w:r w:rsidRPr="004A641F">
        <w:rPr>
          <w:szCs w:val="24"/>
        </w:rPr>
        <w:t>Zika</w:t>
      </w:r>
      <w:proofErr w:type="spellEnd"/>
      <w:r w:rsidRPr="004A641F">
        <w:rPr>
          <w:szCs w:val="24"/>
        </w:rPr>
        <w:t xml:space="preserve"> virus lineages in Midwest Brazil. </w:t>
      </w:r>
      <w:r w:rsidRPr="004A641F">
        <w:rPr>
          <w:i/>
          <w:iCs/>
          <w:szCs w:val="24"/>
          <w:lang w:val="en-GB"/>
        </w:rPr>
        <w:t xml:space="preserve">Infect. Genet. </w:t>
      </w:r>
      <w:proofErr w:type="spellStart"/>
      <w:r w:rsidRPr="004A641F">
        <w:rPr>
          <w:i/>
          <w:iCs/>
          <w:szCs w:val="24"/>
          <w:lang w:val="en-GB"/>
        </w:rPr>
        <w:t>Evol</w:t>
      </w:r>
      <w:proofErr w:type="spellEnd"/>
      <w:r w:rsidRPr="004A641F">
        <w:rPr>
          <w:i/>
          <w:iCs/>
          <w:szCs w:val="24"/>
          <w:lang w:val="en-GB"/>
        </w:rPr>
        <w:t>.</w:t>
      </w:r>
      <w:r w:rsidRPr="004A641F">
        <w:rPr>
          <w:szCs w:val="24"/>
          <w:lang w:val="en-GB"/>
        </w:rPr>
        <w:t xml:space="preserve"> </w:t>
      </w:r>
      <w:r w:rsidRPr="004A641F">
        <w:rPr>
          <w:b/>
          <w:bCs/>
          <w:szCs w:val="24"/>
          <w:lang w:val="en-GB"/>
        </w:rPr>
        <w:t>2019</w:t>
      </w:r>
      <w:r w:rsidRPr="004A641F">
        <w:rPr>
          <w:szCs w:val="24"/>
          <w:lang w:val="en-GB"/>
        </w:rPr>
        <w:t xml:space="preserve">, </w:t>
      </w:r>
      <w:r w:rsidRPr="004A641F">
        <w:rPr>
          <w:i/>
          <w:iCs/>
          <w:szCs w:val="24"/>
          <w:lang w:val="en-GB"/>
        </w:rPr>
        <w:t>75</w:t>
      </w:r>
      <w:r w:rsidRPr="004A641F">
        <w:rPr>
          <w:szCs w:val="24"/>
          <w:lang w:val="en-GB"/>
        </w:rPr>
        <w:t>, 103974</w:t>
      </w:r>
      <w:r w:rsidRPr="004A641F">
        <w:rPr>
          <w:szCs w:val="24"/>
        </w:rPr>
        <w:t xml:space="preserve">, </w:t>
      </w:r>
      <w:hyperlink r:id="rId4" w:history="1">
        <w:r w:rsidRPr="00D310FF">
          <w:rPr>
            <w:rStyle w:val="Hyperlink"/>
            <w:szCs w:val="24"/>
          </w:rPr>
          <w:t>https://doi.org/10.1016/j.meegid.2019.103974</w:t>
        </w:r>
      </w:hyperlink>
      <w:r w:rsidRPr="004A641F">
        <w:rPr>
          <w:szCs w:val="24"/>
        </w:rPr>
        <w:t>.</w:t>
      </w:r>
    </w:p>
    <w:p w14:paraId="0705AD41" w14:textId="77777777" w:rsidR="004A641F" w:rsidRPr="004A641F" w:rsidRDefault="004A641F" w:rsidP="004A641F">
      <w:pPr>
        <w:spacing w:line="240" w:lineRule="auto"/>
        <w:rPr>
          <w:szCs w:val="24"/>
        </w:rPr>
      </w:pPr>
    </w:p>
    <w:p w14:paraId="767AEC37" w14:textId="759A3E5F" w:rsidR="00EB105D" w:rsidRDefault="004A641F" w:rsidP="004A641F">
      <w:pPr>
        <w:spacing w:line="240" w:lineRule="auto"/>
        <w:rPr>
          <w:szCs w:val="24"/>
        </w:rPr>
      </w:pPr>
      <w:r w:rsidRPr="004A641F">
        <w:rPr>
          <w:color w:val="auto"/>
          <w:szCs w:val="24"/>
          <w:lang w:eastAsia="pt-BR"/>
        </w:rPr>
        <w:t>Kubiszeski, J.R.; Vieira, C.J.</w:t>
      </w:r>
      <w:r w:rsidRPr="004A641F">
        <w:rPr>
          <w:color w:val="auto"/>
          <w:szCs w:val="24"/>
          <w:lang w:eastAsia="pt-BR"/>
        </w:rPr>
        <w:t xml:space="preserve">S.P.; </w:t>
      </w:r>
      <w:proofErr w:type="spellStart"/>
      <w:r w:rsidRPr="004A641F">
        <w:rPr>
          <w:szCs w:val="24"/>
        </w:rPr>
        <w:t>Thies</w:t>
      </w:r>
      <w:proofErr w:type="spellEnd"/>
      <w:r w:rsidRPr="004A641F">
        <w:rPr>
          <w:szCs w:val="24"/>
        </w:rPr>
        <w:t>,</w:t>
      </w:r>
      <w:r w:rsidRPr="004A641F">
        <w:rPr>
          <w:szCs w:val="24"/>
        </w:rPr>
        <w:t xml:space="preserve"> S.F.; S</w:t>
      </w:r>
      <w:r w:rsidRPr="004A641F">
        <w:rPr>
          <w:szCs w:val="24"/>
        </w:rPr>
        <w:t>ilva</w:t>
      </w:r>
      <w:bookmarkStart w:id="0" w:name="_GoBack"/>
      <w:bookmarkEnd w:id="0"/>
      <w:r w:rsidRPr="004A641F">
        <w:rPr>
          <w:szCs w:val="24"/>
        </w:rPr>
        <w:t>,</w:t>
      </w:r>
      <w:r w:rsidRPr="004A641F">
        <w:rPr>
          <w:szCs w:val="24"/>
        </w:rPr>
        <w:t xml:space="preserve"> D.J.F.; </w:t>
      </w:r>
      <w:proofErr w:type="spellStart"/>
      <w:r w:rsidRPr="004A641F">
        <w:rPr>
          <w:szCs w:val="24"/>
        </w:rPr>
        <w:t>Barreto</w:t>
      </w:r>
      <w:proofErr w:type="spellEnd"/>
      <w:r w:rsidRPr="004A641F">
        <w:rPr>
          <w:szCs w:val="24"/>
        </w:rPr>
        <w:t>,</w:t>
      </w:r>
      <w:r w:rsidRPr="004A641F">
        <w:rPr>
          <w:szCs w:val="24"/>
        </w:rPr>
        <w:t xml:space="preserve"> E.S.; </w:t>
      </w:r>
      <w:proofErr w:type="spellStart"/>
      <w:r w:rsidRPr="004A641F">
        <w:rPr>
          <w:szCs w:val="24"/>
        </w:rPr>
        <w:t>Mondini</w:t>
      </w:r>
      <w:proofErr w:type="spellEnd"/>
      <w:r w:rsidRPr="004A641F">
        <w:rPr>
          <w:szCs w:val="24"/>
        </w:rPr>
        <w:t xml:space="preserve">, A.; </w:t>
      </w:r>
      <w:proofErr w:type="spellStart"/>
      <w:r w:rsidRPr="004A641F">
        <w:rPr>
          <w:szCs w:val="24"/>
        </w:rPr>
        <w:t>Bronzoni</w:t>
      </w:r>
      <w:proofErr w:type="spellEnd"/>
      <w:r w:rsidRPr="004A641F">
        <w:rPr>
          <w:szCs w:val="24"/>
        </w:rPr>
        <w:t>, R.V.M.</w:t>
      </w:r>
      <w:r w:rsidR="00EB105D" w:rsidRPr="004A641F">
        <w:rPr>
          <w:szCs w:val="24"/>
          <w:lang w:val="en-AU"/>
        </w:rPr>
        <w:t xml:space="preserve"> </w:t>
      </w:r>
      <w:r w:rsidR="00EB105D" w:rsidRPr="004A641F">
        <w:rPr>
          <w:szCs w:val="24"/>
        </w:rPr>
        <w:t xml:space="preserve">Detection of the Asian II genotype of dengue virus serotype 2 in humans and mosquitoes in Brazil. </w:t>
      </w:r>
      <w:r w:rsidRPr="004A641F">
        <w:rPr>
          <w:i/>
          <w:szCs w:val="24"/>
        </w:rPr>
        <w:t>Rev. Soc. Bras. Med. Trop.</w:t>
      </w:r>
      <w:r w:rsidRPr="004A641F">
        <w:rPr>
          <w:szCs w:val="24"/>
        </w:rPr>
        <w:t xml:space="preserve"> </w:t>
      </w:r>
      <w:r w:rsidRPr="004A641F">
        <w:rPr>
          <w:b/>
          <w:szCs w:val="24"/>
        </w:rPr>
        <w:t>2020</w:t>
      </w:r>
      <w:r w:rsidRPr="004A641F">
        <w:rPr>
          <w:szCs w:val="24"/>
        </w:rPr>
        <w:t>,</w:t>
      </w:r>
      <w:r w:rsidR="00EB105D" w:rsidRPr="004A641F">
        <w:rPr>
          <w:szCs w:val="24"/>
        </w:rPr>
        <w:t xml:space="preserve"> 53, e20190439</w:t>
      </w:r>
      <w:r w:rsidR="00755538" w:rsidRPr="004A641F">
        <w:rPr>
          <w:szCs w:val="24"/>
        </w:rPr>
        <w:t xml:space="preserve">, </w:t>
      </w:r>
      <w:hyperlink r:id="rId5" w:history="1">
        <w:r w:rsidRPr="00D310FF">
          <w:rPr>
            <w:rStyle w:val="Hyperlink"/>
            <w:szCs w:val="24"/>
          </w:rPr>
          <w:t>http://dx.doi.org/10.1590/0037-8682-0439-2019</w:t>
        </w:r>
      </w:hyperlink>
      <w:r w:rsidR="00755538" w:rsidRPr="004A641F">
        <w:rPr>
          <w:szCs w:val="24"/>
        </w:rPr>
        <w:t>.</w:t>
      </w:r>
    </w:p>
    <w:p w14:paraId="444B4B66" w14:textId="77777777" w:rsidR="00755538" w:rsidRPr="004A641F" w:rsidRDefault="00755538" w:rsidP="004A641F">
      <w:pPr>
        <w:spacing w:line="240" w:lineRule="auto"/>
        <w:rPr>
          <w:szCs w:val="24"/>
        </w:rPr>
      </w:pPr>
    </w:p>
    <w:p w14:paraId="7B608A68" w14:textId="7DE648E6" w:rsidR="00AD1A88" w:rsidRPr="004A641F" w:rsidRDefault="004A641F" w:rsidP="004A641F">
      <w:pPr>
        <w:spacing w:line="240" w:lineRule="auto"/>
        <w:rPr>
          <w:color w:val="auto"/>
          <w:szCs w:val="24"/>
          <w:lang w:eastAsia="pt-BR"/>
        </w:rPr>
      </w:pPr>
      <w:proofErr w:type="spellStart"/>
      <w:r w:rsidRPr="004A641F">
        <w:rPr>
          <w:color w:val="auto"/>
          <w:szCs w:val="24"/>
          <w:lang w:eastAsia="pt-BR"/>
        </w:rPr>
        <w:t>Moraes</w:t>
      </w:r>
      <w:proofErr w:type="spellEnd"/>
      <w:r w:rsidRPr="004A641F">
        <w:rPr>
          <w:color w:val="auto"/>
          <w:szCs w:val="24"/>
          <w:lang w:eastAsia="pt-BR"/>
        </w:rPr>
        <w:t xml:space="preserve">, M.M.; Kubiszeski, J.R.; Vieira, C.J.S.P.; </w:t>
      </w:r>
      <w:proofErr w:type="spellStart"/>
      <w:r w:rsidRPr="004A641F">
        <w:rPr>
          <w:color w:val="auto"/>
          <w:szCs w:val="24"/>
          <w:lang w:eastAsia="pt-BR"/>
        </w:rPr>
        <w:t>Gusmao</w:t>
      </w:r>
      <w:proofErr w:type="spellEnd"/>
      <w:r w:rsidRPr="004A641F">
        <w:rPr>
          <w:color w:val="auto"/>
          <w:szCs w:val="24"/>
          <w:lang w:eastAsia="pt-BR"/>
        </w:rPr>
        <w:t xml:space="preserve">, A.F.; </w:t>
      </w:r>
      <w:proofErr w:type="spellStart"/>
      <w:r w:rsidRPr="004A641F">
        <w:rPr>
          <w:color w:val="auto"/>
          <w:szCs w:val="24"/>
          <w:lang w:eastAsia="pt-BR"/>
        </w:rPr>
        <w:t>Pratis</w:t>
      </w:r>
      <w:proofErr w:type="spellEnd"/>
      <w:r w:rsidRPr="004A641F">
        <w:rPr>
          <w:color w:val="auto"/>
          <w:szCs w:val="24"/>
          <w:lang w:eastAsia="pt-BR"/>
        </w:rPr>
        <w:t xml:space="preserve">, T.S.; Colombo, T.E.; </w:t>
      </w:r>
      <w:proofErr w:type="spellStart"/>
      <w:r w:rsidRPr="004A641F">
        <w:rPr>
          <w:color w:val="auto"/>
          <w:szCs w:val="24"/>
          <w:lang w:eastAsia="pt-BR"/>
        </w:rPr>
        <w:t>Thies</w:t>
      </w:r>
      <w:proofErr w:type="spellEnd"/>
      <w:r w:rsidRPr="004A641F">
        <w:rPr>
          <w:color w:val="auto"/>
          <w:szCs w:val="24"/>
          <w:lang w:eastAsia="pt-BR"/>
        </w:rPr>
        <w:t xml:space="preserve">, S.F.; Araujo, F. do C.; Zanelli, C.F.; </w:t>
      </w:r>
      <w:proofErr w:type="spellStart"/>
      <w:r w:rsidRPr="004A641F">
        <w:rPr>
          <w:color w:val="auto"/>
          <w:szCs w:val="24"/>
          <w:lang w:eastAsia="pt-BR"/>
        </w:rPr>
        <w:t>Milhim</w:t>
      </w:r>
      <w:proofErr w:type="spellEnd"/>
      <w:r w:rsidRPr="004A641F">
        <w:rPr>
          <w:color w:val="auto"/>
          <w:szCs w:val="24"/>
          <w:lang w:eastAsia="pt-BR"/>
        </w:rPr>
        <w:t xml:space="preserve">, B.H.G. de A.; et al. Concomitant detection of Saint Louis encephalitis virus in two Brazilian States. </w:t>
      </w:r>
      <w:r w:rsidRPr="004A641F">
        <w:rPr>
          <w:i/>
          <w:color w:val="auto"/>
          <w:szCs w:val="24"/>
          <w:lang w:eastAsia="pt-BR"/>
        </w:rPr>
        <w:t>Mem. Inst. Oswaldo Cruz</w:t>
      </w:r>
      <w:r w:rsidRPr="004A641F">
        <w:rPr>
          <w:color w:val="auto"/>
          <w:szCs w:val="24"/>
          <w:lang w:eastAsia="pt-BR"/>
        </w:rPr>
        <w:t xml:space="preserve"> (under review).</w:t>
      </w:r>
    </w:p>
    <w:p w14:paraId="1549CEAB" w14:textId="77777777" w:rsidR="004A641F" w:rsidRPr="004A641F" w:rsidRDefault="004A641F" w:rsidP="00AD1A88">
      <w:pPr>
        <w:spacing w:line="240" w:lineRule="auto"/>
        <w:jc w:val="left"/>
        <w:rPr>
          <w:color w:val="auto"/>
          <w:szCs w:val="24"/>
          <w:lang w:eastAsia="pt-BR"/>
        </w:rPr>
      </w:pPr>
    </w:p>
    <w:p w14:paraId="53A34531" w14:textId="39A247F6" w:rsidR="00EB105D" w:rsidRPr="004A641F" w:rsidRDefault="00EB105D" w:rsidP="00B14C66">
      <w:pPr>
        <w:spacing w:line="240" w:lineRule="auto"/>
        <w:rPr>
          <w:szCs w:val="24"/>
        </w:rPr>
      </w:pPr>
    </w:p>
    <w:p w14:paraId="21AF7612" w14:textId="77777777" w:rsidR="00EB105D" w:rsidRPr="004A641F" w:rsidRDefault="00EB105D" w:rsidP="00B14C66">
      <w:pPr>
        <w:spacing w:line="240" w:lineRule="auto"/>
        <w:rPr>
          <w:szCs w:val="24"/>
        </w:rPr>
      </w:pPr>
    </w:p>
    <w:sectPr w:rsidR="00EB105D" w:rsidRPr="004A641F" w:rsidSect="00846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3F8"/>
    <w:rsid w:val="000D43F8"/>
    <w:rsid w:val="001A2346"/>
    <w:rsid w:val="00290A79"/>
    <w:rsid w:val="002C601F"/>
    <w:rsid w:val="00424108"/>
    <w:rsid w:val="004A641F"/>
    <w:rsid w:val="005900A2"/>
    <w:rsid w:val="00755538"/>
    <w:rsid w:val="00846D11"/>
    <w:rsid w:val="008900BE"/>
    <w:rsid w:val="00AD1A88"/>
    <w:rsid w:val="00B14C66"/>
    <w:rsid w:val="00DC42F7"/>
    <w:rsid w:val="00E275B7"/>
    <w:rsid w:val="00EB105D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1EF32"/>
  <w15:chartTrackingRefBased/>
  <w15:docId w15:val="{20F1F94A-A51A-46C5-9630-0FCA4A773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3F8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4C66"/>
    <w:pPr>
      <w:spacing w:before="100" w:beforeAutospacing="1" w:after="100" w:afterAutospacing="1" w:line="240" w:lineRule="auto"/>
      <w:jc w:val="left"/>
    </w:pPr>
    <w:rPr>
      <w:color w:val="auto"/>
      <w:szCs w:val="24"/>
      <w:lang w:val="en-AU" w:eastAsia="en-AU"/>
    </w:rPr>
  </w:style>
  <w:style w:type="character" w:styleId="Hyperlink">
    <w:name w:val="Hyperlink"/>
    <w:basedOn w:val="DefaultParagraphFont"/>
    <w:uiPriority w:val="99"/>
    <w:unhideWhenUsed/>
    <w:rsid w:val="00EB105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B10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5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2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3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x.doi.org/10.1590/0037-8682-0439-2019" TargetMode="External"/><Relationship Id="rId4" Type="http://schemas.openxmlformats.org/officeDocument/2006/relationships/hyperlink" Target="https://doi.org/10.1016/j.meegid.2019.1039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QIMR Berghofer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Vieira</dc:creator>
  <cp:keywords/>
  <dc:description/>
  <cp:lastModifiedBy>Carla Vieira</cp:lastModifiedBy>
  <cp:revision>11</cp:revision>
  <dcterms:created xsi:type="dcterms:W3CDTF">2020-04-24T03:04:00Z</dcterms:created>
  <dcterms:modified xsi:type="dcterms:W3CDTF">2020-06-11T09:12:00Z</dcterms:modified>
</cp:coreProperties>
</file>