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84903" w14:textId="77777777" w:rsidR="00C74E76" w:rsidRPr="000919AC" w:rsidRDefault="00C87F90" w:rsidP="005E66A6">
      <w:pPr>
        <w:pStyle w:val="Header"/>
        <w:tabs>
          <w:tab w:val="clear" w:pos="8640"/>
          <w:tab w:val="right" w:pos="13860"/>
        </w:tabs>
        <w:ind w:left="720"/>
        <w:rPr>
          <w:sz w:val="28"/>
          <w:szCs w:val="28"/>
        </w:rPr>
      </w:pPr>
      <w:r>
        <w:rPr>
          <w:color w:val="auto"/>
        </w:rPr>
        <w:pict w14:anchorId="3C91CC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left:0;text-align:left;margin-left:-45pt;margin-top:-18pt;width:54pt;height:49.1pt;z-index:20;mso-wrap-edited:t;mso-wrap-distance-left:2.88pt;mso-wrap-distance-top:2.88pt;mso-wrap-distance-right:2.88pt;mso-wrap-distance-bottom:2.88pt" wrapcoords="-54 -232 -54 21920 21627 21920 21627 -232 -54 -232" insetpen="t" o:clip="t" o:cliptowrap="t">
            <o:clippath o:v="m-54,-232r,22152l21627,21920r,-22152l-54,-232xe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imagedata r:id="rId6" o:title="Consort-Logo-Graphic-30-12-071" croptop="13559f" cropbottom="11299f" cropleft="1966f" cropright="57082f"/>
            <v:shadow color="#ccc"/>
          </v:shape>
        </w:pict>
      </w:r>
      <w:r w:rsidR="00C74E76" w:rsidRPr="00995264">
        <w:rPr>
          <w:rFonts w:ascii="Calibri" w:hAnsi="Calibri"/>
          <w:b/>
          <w:bCs/>
          <w:color w:val="auto"/>
          <w:sz w:val="28"/>
          <w:szCs w:val="28"/>
        </w:rPr>
        <w:t xml:space="preserve">PRISMA 2009 </w:t>
      </w:r>
      <w:r w:rsidR="00C74E76">
        <w:rPr>
          <w:rFonts w:ascii="Calibri" w:hAnsi="Calibri"/>
          <w:b/>
          <w:bCs/>
          <w:color w:val="auto"/>
          <w:sz w:val="28"/>
          <w:szCs w:val="28"/>
        </w:rPr>
        <w:t>Flow Diagram</w:t>
      </w:r>
    </w:p>
    <w:p w14:paraId="6105F4EB" w14:textId="03CE39CD" w:rsidR="00C543A3" w:rsidRDefault="00C87F90">
      <w:r>
        <w:rPr>
          <w:noProof/>
          <w:color w:val="auto"/>
          <w:kern w:val="0"/>
          <w:sz w:val="24"/>
          <w:szCs w:val="24"/>
        </w:rPr>
        <w:pict w14:anchorId="21A26F19">
          <v:rect id="_x0000_s1038" style="position:absolute;margin-left:314.4pt;margin-top:306.9pt;width:172.85pt;height:204.65pt;z-index:13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8;mso-column-margin:2mm" inset=",7.2pt,,7.2pt">
              <w:txbxContent>
                <w:p w14:paraId="124AF8D8" w14:textId="18DCC71D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F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>ull-text articles excluded, with reasons</w:t>
                  </w:r>
                  <w:r w:rsidR="00360E89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(n = </w:t>
                  </w:r>
                  <w:r w:rsidR="003B4EF0"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6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  <w:p w14:paraId="613937CE" w14:textId="77777777" w:rsidR="002F7554" w:rsidRDefault="002F7554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Not related with UAS</w:t>
                  </w:r>
                </w:p>
                <w:p w14:paraId="6B1EC2A9" w14:textId="31C5C691" w:rsidR="002F7554" w:rsidRDefault="002F7554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(n = 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67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  <w:p w14:paraId="00D58054" w14:textId="77777777" w:rsidR="00D1639E" w:rsidRPr="00D1639E" w:rsidRDefault="00D1639E" w:rsidP="00D163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1639E">
                    <w:rPr>
                      <w:rFonts w:ascii="Calibri" w:hAnsi="Calibri"/>
                      <w:sz w:val="22"/>
                      <w:szCs w:val="22"/>
                    </w:rPr>
                    <w:t>Complementary but do not confront to the topic</w:t>
                  </w:r>
                </w:p>
                <w:p w14:paraId="0B5F7CF9" w14:textId="19A8D6F5" w:rsidR="00D1639E" w:rsidRDefault="00D1639E" w:rsidP="00D1639E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D1639E">
                    <w:rPr>
                      <w:rFonts w:ascii="Calibri" w:hAnsi="Calibri"/>
                      <w:sz w:val="22"/>
                      <w:szCs w:val="22"/>
                    </w:rPr>
                    <w:t>(n = 19)</w:t>
                  </w:r>
                </w:p>
                <w:p w14:paraId="31614E46" w14:textId="7D4B3092" w:rsidR="002F7554" w:rsidRDefault="00360E89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Non peer-reviewed</w:t>
                  </w:r>
                  <w:r w:rsidR="00692E63">
                    <w:rPr>
                      <w:rFonts w:ascii="Calibri" w:hAnsi="Calibri"/>
                      <w:sz w:val="22"/>
                      <w:szCs w:val="22"/>
                    </w:rPr>
                    <w:t>, unpublished conference abstracts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, presentations, posters, theses, reports</w:t>
                  </w:r>
                  <w:r w:rsidR="00692E63">
                    <w:rPr>
                      <w:rFonts w:ascii="Calibri" w:hAnsi="Calibri"/>
                      <w:sz w:val="22"/>
                      <w:szCs w:val="22"/>
                    </w:rPr>
                    <w:t>, reviews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(n = </w:t>
                  </w:r>
                  <w:r w:rsidR="003B4EF0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  <w:p w14:paraId="7D04AF83" w14:textId="07DF5C44" w:rsidR="002F7554" w:rsidRDefault="00D1639E" w:rsidP="002F7554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Documentation surveys or i</w:t>
                  </w:r>
                  <w:r w:rsidR="002F7554">
                    <w:rPr>
                      <w:rFonts w:ascii="Calibri" w:hAnsi="Calibri"/>
                      <w:sz w:val="22"/>
                      <w:szCs w:val="22"/>
                    </w:rPr>
                    <w:t>nsufficient data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post-</w:t>
                  </w:r>
                  <w:r w:rsidR="002F7554">
                    <w:rPr>
                      <w:rFonts w:ascii="Calibri" w:hAnsi="Calibri"/>
                      <w:sz w:val="22"/>
                      <w:szCs w:val="22"/>
                    </w:rPr>
                    <w:t>processing</w:t>
                  </w:r>
                </w:p>
                <w:p w14:paraId="37CE3DDC" w14:textId="5D1C92AE" w:rsidR="002F7554" w:rsidRDefault="002F7554" w:rsidP="002F7554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(n = 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406841A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284.25pt;margin-top:405.15pt;width:30.15pt;height:0;z-index:19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7AAC93F0">
          <v:shape id="_x0000_s1044" type="#_x0000_t32" style="position:absolute;margin-left:3in;margin-top:432.15pt;width:0;height:36.75pt;z-index:17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49B45553">
          <v:rect id="_x0000_s1037" style="position:absolute;margin-left:149.25pt;margin-top:378.15pt;width:135pt;height:54pt;z-index:12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7;mso-column-margin:2mm" inset=",7.2pt,,7.2pt">
              <w:txbxContent>
                <w:p w14:paraId="10F98A17" w14:textId="79CD7745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F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>ull-text articles assessed for eligibility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= </w:t>
                  </w:r>
                  <w:r w:rsidR="00360E89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263A23CD">
          <v:shape id="_x0000_s1042" type="#_x0000_t32" style="position:absolute;margin-left:3in;margin-top:279.9pt;width:.75pt;height:98.25pt;z-index:16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1F7C305D">
          <v:rect id="_x0000_s1036" style="position:absolute;margin-left:314.4pt;margin-top:223.15pt;width:172.85pt;height:68.45pt;z-index:11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6;mso-column-margin:2mm" inset=",7.2pt,,7.2pt">
              <w:txbxContent>
                <w:p w14:paraId="5D2627B8" w14:textId="04C86232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R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>ecords excluded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= </w:t>
                  </w:r>
                  <w:r w:rsidR="00424E6C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  <w:p w14:paraId="1BCE9CC8" w14:textId="40B24147" w:rsidR="00424E6C" w:rsidRDefault="00424E6C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Not </w:t>
                  </w:r>
                  <w:r w:rsidR="002F7554">
                    <w:rPr>
                      <w:rFonts w:ascii="Calibri" w:hAnsi="Calibri"/>
                      <w:sz w:val="22"/>
                      <w:szCs w:val="22"/>
                    </w:rPr>
                    <w:t>related to archaeology</w:t>
                  </w:r>
                  <w:r w:rsidR="00360E89">
                    <w:rPr>
                      <w:rFonts w:ascii="Calibri" w:hAnsi="Calibri"/>
                      <w:sz w:val="22"/>
                      <w:szCs w:val="22"/>
                    </w:rPr>
                    <w:br/>
                    <w:t>(n = 2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  <w:r w:rsidR="00360E89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7A581ECC">
          <v:shape id="_x0000_s1045" type="#_x0000_t32" style="position:absolute;margin-left:281.75pt;margin-top:257.4pt;width:32.65pt;height:0;z-index:18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6F8CD6A4">
          <v:rect id="_x0000_s1026" style="position:absolute;margin-left:27pt;margin-top:45.9pt;width:175.5pt;height:71.75pt;z-index:1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column-margin:2mm" inset=",7.2pt,,7.2pt">
              <w:txbxContent>
                <w:p w14:paraId="5D72EC08" w14:textId="607A0913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R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>ecords identified through database search</w:t>
                  </w:r>
                  <w:r w:rsidR="00424E6C">
                    <w:rPr>
                      <w:rFonts w:ascii="Calibri" w:hAnsi="Calibri"/>
                      <w:sz w:val="22"/>
                      <w:szCs w:val="22"/>
                    </w:rPr>
                    <w:t xml:space="preserve"> (n = 2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72</w:t>
                  </w:r>
                  <w:r w:rsidR="00424E6C">
                    <w:rPr>
                      <w:rFonts w:ascii="Calibri" w:hAnsi="Calibri"/>
                      <w:sz w:val="22"/>
                      <w:szCs w:val="22"/>
                    </w:rPr>
                    <w:t>) and reference harvesting (n = 16)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</w:t>
                  </w:r>
                  <w:r w:rsidR="007B1808">
                    <w:rPr>
                      <w:rFonts w:ascii="Calibri" w:hAnsi="Calibri"/>
                      <w:sz w:val="22"/>
                      <w:szCs w:val="22"/>
                    </w:rPr>
                    <w:t>= 2</w:t>
                  </w:r>
                  <w:r w:rsidR="00121BCB"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09133323">
          <v:rect id="_x0000_s1040" style="position:absolute;margin-left:148.5pt;margin-top:468.9pt;width:135pt;height:1in;z-index:14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40;mso-column-margin:2mm" inset=",7.2pt,,7.2pt">
              <w:txbxContent>
                <w:p w14:paraId="4FD6A0D1" w14:textId="4C9A6661" w:rsidR="00C74E76" w:rsidRDefault="00D1639E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Publications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 xml:space="preserve"> included in quantitative synthesis (meta-analysis)</w:t>
                  </w:r>
                  <w:r w:rsidR="005E66A6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= </w:t>
                  </w:r>
                  <w:r w:rsidR="003B4EF0">
                    <w:rPr>
                      <w:rFonts w:ascii="Calibri" w:hAnsi="Calibri"/>
                      <w:sz w:val="22"/>
                      <w:szCs w:val="22"/>
                    </w:rPr>
                    <w:t>6</w:t>
                  </w:r>
                  <w:r w:rsidR="00D435B5"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  <w:r w:rsidR="005E66A6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409D8C5F">
          <v:rect id="_x0000_s1035" style="position:absolute;margin-left:150.25pt;margin-top:234.9pt;width:131.5pt;height:45pt;z-index:10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5;mso-column-margin:2mm" inset=",7.2pt,,7.2pt">
              <w:txbxContent>
                <w:p w14:paraId="0EB9932B" w14:textId="33336168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Records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 xml:space="preserve"> screened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= </w:t>
                  </w:r>
                  <w:r w:rsidR="00424E6C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62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771EFD5D">
          <v:shape id="_x0000_s1041" type="#_x0000_t32" style="position:absolute;margin-left:3in;margin-top:198.9pt;width:0;height:36pt;z-index:15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7AEAC55A">
          <v:shape id="_x0000_s1031" type="#_x0000_t32" style="position:absolute;margin-left:306pt;margin-top:117.9pt;width:0;height:36pt;z-index:6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1BA2158B">
          <v:shape id="_x0000_s1030" type="#_x0000_t32" style="position:absolute;margin-left:126pt;margin-top:117.9pt;width:0;height:36pt;z-index:5;mso-wrap-distance-left:2.88pt;mso-wrap-distance-top:2.88pt;mso-wrap-distance-right:2.88pt;mso-wrap-distance-bottom:2.88pt" o:connectortype="straight">
            <v:stroke endarrow="block"/>
            <v:shadow color="#ccc"/>
          </v:shape>
        </w:pict>
      </w:r>
      <w:r>
        <w:rPr>
          <w:noProof/>
          <w:color w:val="auto"/>
          <w:kern w:val="0"/>
          <w:sz w:val="24"/>
          <w:szCs w:val="24"/>
        </w:rPr>
        <w:pict w14:anchorId="3421351C">
          <v:rect id="_x0000_s1034" style="position:absolute;margin-left:106.85pt;margin-top:153.9pt;width:218.25pt;height:45pt;z-index:9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4;mso-column-margin:2mm" inset=",7.2pt,,7.2pt">
              <w:txbxContent>
                <w:p w14:paraId="078D6372" w14:textId="7FE98DBB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Records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 xml:space="preserve"> after duplicates removed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= </w:t>
                  </w:r>
                  <w:r w:rsidR="00424E6C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  <w:r w:rsidR="0087122F">
                    <w:rPr>
                      <w:rFonts w:ascii="Calibri" w:hAnsi="Calibri"/>
                      <w:sz w:val="22"/>
                      <w:szCs w:val="22"/>
                    </w:rPr>
                    <w:t>62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78FF552D">
          <v:rect id="_x0000_s1033" style="position:absolute;margin-left:229.5pt;margin-top:63.9pt;width:175.5pt;height:54pt;z-index:8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textbox style="mso-next-textbox:#_x0000_s1033;mso-column-margin:2mm" inset=",7.2pt,,7.2pt">
              <w:txbxContent>
                <w:p w14:paraId="0F401D11" w14:textId="77777777" w:rsidR="00C74E76" w:rsidRDefault="005E66A6" w:rsidP="00C74E76">
                  <w:pPr>
                    <w:jc w:val="center"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A</w:t>
                  </w:r>
                  <w:r w:rsidR="00C74E76">
                    <w:rPr>
                      <w:rFonts w:ascii="Calibri" w:hAnsi="Calibri"/>
                      <w:sz w:val="22"/>
                      <w:szCs w:val="22"/>
                    </w:rPr>
                    <w:t>dditional records identified through other sources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(n </w:t>
                  </w:r>
                  <w:r w:rsidR="007B1808">
                    <w:rPr>
                      <w:rFonts w:ascii="Calibri" w:hAnsi="Calibri"/>
                      <w:sz w:val="22"/>
                      <w:szCs w:val="22"/>
                    </w:rPr>
                    <w:t>= 14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  <w:color w:val="auto"/>
          <w:kern w:val="0"/>
          <w:sz w:val="24"/>
          <w:szCs w:val="24"/>
        </w:rPr>
        <w:pict w14:anchorId="76738FAA">
          <v:roundrect id="_x0000_s1032" style="position:absolute;margin-left:-78.3pt;margin-top:88.2pt;width:108pt;height:23.4pt;rotation:270;z-index:7" arcsize="10923f" fillcolor="#ccecff">
            <v:textbox style="layout-flow:vertical;mso-layout-flow-alt:bottom-to-top;mso-next-textbox:#_x0000_s1032;mso-column-margin:2mm" inset="3.6pt,,3.6pt">
              <w:txbxContent>
                <w:p w14:paraId="27A95F3C" w14:textId="77777777" w:rsidR="00C74E76" w:rsidRDefault="00C74E76" w:rsidP="00C74E76">
                  <w:pPr>
                    <w:pStyle w:val="Heading2"/>
                    <w:keepNext/>
                    <w:rPr>
                      <w:rFonts w:ascii="Calibri" w:hAnsi="Calibri"/>
                      <w:lang w:val="en"/>
                    </w:rPr>
                  </w:pPr>
                  <w:r>
                    <w:rPr>
                      <w:rFonts w:ascii="Calibri" w:hAnsi="Calibri"/>
                      <w:lang w:val="en"/>
                    </w:rPr>
                    <w:t>Identification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 w14:anchorId="4A5B5163">
          <v:roundrect id="_x0000_s1029" style="position:absolute;margin-left:-78.3pt;margin-top:340.2pt;width:108pt;height:23.4pt;rotation:270;z-index:4" arcsize="10923f" fillcolor="#ccecff">
            <v:textbox style="layout-flow:vertical;mso-layout-flow-alt:bottom-to-top;mso-next-textbox:#_x0000_s1029;mso-column-margin:2mm" inset="3.6pt,,3.6pt">
              <w:txbxContent>
                <w:p w14:paraId="3D2BD2C5" w14:textId="77777777" w:rsidR="00C74E76" w:rsidRDefault="00C74E76" w:rsidP="00C74E76">
                  <w:pPr>
                    <w:pStyle w:val="Heading2"/>
                    <w:keepNext/>
                    <w:rPr>
                      <w:rFonts w:ascii="Calibri" w:hAnsi="Calibri"/>
                      <w:sz w:val="22"/>
                      <w:szCs w:val="22"/>
                      <w:lang w:val="en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  <w:lang w:val="en"/>
                    </w:rPr>
                    <w:t>Eligibility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 w14:anchorId="2C4E1AB5">
          <v:roundrect id="_x0000_s1028" style="position:absolute;margin-left:-78.3pt;margin-top:466.2pt;width:108pt;height:23.4pt;rotation:270;z-index:3" arcsize="10923f" fillcolor="#ccecff">
            <v:textbox style="layout-flow:vertical;mso-layout-flow-alt:bottom-to-top;mso-next-textbox:#_x0000_s1028;mso-column-margin:2mm" inset="3.6pt,,3.6pt">
              <w:txbxContent>
                <w:p w14:paraId="53D043A8" w14:textId="77777777" w:rsidR="00C74E76" w:rsidRDefault="00C74E76" w:rsidP="00C74E76">
                  <w:pPr>
                    <w:pStyle w:val="Heading2"/>
                    <w:keepNext/>
                    <w:rPr>
                      <w:rFonts w:ascii="Calibri" w:hAnsi="Calibri"/>
                      <w:lang w:val="en"/>
                    </w:rPr>
                  </w:pPr>
                  <w:r>
                    <w:rPr>
                      <w:rFonts w:ascii="Calibri" w:hAnsi="Calibri"/>
                      <w:lang w:val="en"/>
                    </w:rPr>
                    <w:t>Included</w:t>
                  </w:r>
                </w:p>
              </w:txbxContent>
            </v:textbox>
          </v:roundrect>
        </w:pict>
      </w:r>
      <w:r>
        <w:rPr>
          <w:noProof/>
          <w:color w:val="auto"/>
          <w:kern w:val="0"/>
          <w:sz w:val="24"/>
          <w:szCs w:val="24"/>
        </w:rPr>
        <w:pict w14:anchorId="4B636021">
          <v:roundrect id="_x0000_s1027" style="position:absolute;margin-left:-78.3pt;margin-top:214.2pt;width:108pt;height:23.4pt;rotation:270;z-index:2" arcsize="10923f" fillcolor="#ccecff">
            <v:textbox style="layout-flow:vertical;mso-layout-flow-alt:bottom-to-top;mso-column-margin:2mm" inset="3.6pt,,3.6pt">
              <w:txbxContent>
                <w:p w14:paraId="2DCC186C" w14:textId="77777777" w:rsidR="00C74E76" w:rsidRDefault="00C74E76" w:rsidP="00C74E76">
                  <w:pPr>
                    <w:pStyle w:val="Heading2"/>
                    <w:keepNext/>
                    <w:rPr>
                      <w:rFonts w:ascii="Calibri" w:hAnsi="Calibri"/>
                      <w:lang w:val="en"/>
                    </w:rPr>
                  </w:pPr>
                  <w:r>
                    <w:rPr>
                      <w:rFonts w:ascii="Calibri" w:hAnsi="Calibri"/>
                      <w:lang w:val="en"/>
                    </w:rPr>
                    <w:t>Screening</w:t>
                  </w:r>
                </w:p>
              </w:txbxContent>
            </v:textbox>
          </v:roundrect>
        </w:pict>
      </w:r>
    </w:p>
    <w:sectPr w:rsidR="00C543A3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EF92D" w14:textId="77777777" w:rsidR="00C87F90" w:rsidRDefault="00C87F90">
      <w:r>
        <w:separator/>
      </w:r>
    </w:p>
  </w:endnote>
  <w:endnote w:type="continuationSeparator" w:id="0">
    <w:p w14:paraId="28D327E1" w14:textId="77777777" w:rsidR="00C87F90" w:rsidRDefault="00C87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6E94F" w14:textId="77777777" w:rsidR="00C74E76" w:rsidRDefault="00C74E76" w:rsidP="00C74E76">
    <w:pPr>
      <w:widowControl w:val="0"/>
      <w:ind w:left="-720" w:right="-720"/>
      <w:jc w:val="center"/>
      <w:rPr>
        <w:rFonts w:ascii="Arial" w:hAnsi="Arial" w:cs="Arial"/>
        <w:sz w:val="16"/>
        <w:szCs w:val="16"/>
        <w:lang w:val="en-GB"/>
      </w:rPr>
    </w:pPr>
    <w:r w:rsidRPr="000919AC">
      <w:rPr>
        <w:rFonts w:ascii="Arial" w:hAnsi="Arial" w:cs="Arial"/>
        <w:i/>
        <w:iCs/>
        <w:sz w:val="16"/>
        <w:szCs w:val="16"/>
        <w:lang w:val="de-DE"/>
      </w:rPr>
      <w:t xml:space="preserve">From: </w:t>
    </w:r>
    <w:r w:rsidRPr="000919AC">
      <w:rPr>
        <w:rFonts w:ascii="Arial" w:hAnsi="Arial" w:cs="Arial"/>
        <w:sz w:val="16"/>
        <w:szCs w:val="16"/>
        <w:lang w:val="de-DE"/>
      </w:rPr>
      <w:t xml:space="preserve"> Moher D, Liberati A, Tetzlaff J, Altman DG, The PRISMA Group (2009)</w:t>
    </w:r>
    <w:r w:rsidRPr="000919AC">
      <w:rPr>
        <w:rFonts w:ascii="Arial" w:hAnsi="Arial" w:cs="Arial"/>
        <w:sz w:val="16"/>
        <w:szCs w:val="16"/>
        <w:lang w:val="en-GB"/>
      </w:rPr>
      <w:t xml:space="preserve">. </w:t>
    </w:r>
    <w:r w:rsidRPr="000919AC">
      <w:rPr>
        <w:rFonts w:ascii="Arial" w:hAnsi="Arial" w:cs="Arial"/>
        <w:i/>
        <w:iCs/>
        <w:sz w:val="16"/>
        <w:szCs w:val="16"/>
        <w:lang w:val="en-GB"/>
      </w:rPr>
      <w:t>P</w:t>
    </w:r>
    <w:r w:rsidRPr="000919AC">
      <w:rPr>
        <w:rFonts w:ascii="Arial" w:hAnsi="Arial" w:cs="Arial"/>
        <w:sz w:val="16"/>
        <w:szCs w:val="16"/>
        <w:lang w:val="en-GB"/>
      </w:rPr>
      <w:t xml:space="preserve">referred </w:t>
    </w:r>
    <w:r w:rsidRPr="000919AC">
      <w:rPr>
        <w:rFonts w:ascii="Arial" w:hAnsi="Arial" w:cs="Arial"/>
        <w:i/>
        <w:iCs/>
        <w:sz w:val="16"/>
        <w:szCs w:val="16"/>
        <w:lang w:val="en-GB"/>
      </w:rPr>
      <w:t>R</w:t>
    </w:r>
    <w:r w:rsidRPr="000919AC">
      <w:rPr>
        <w:rFonts w:ascii="Arial" w:hAnsi="Arial" w:cs="Arial"/>
        <w:sz w:val="16"/>
        <w:szCs w:val="16"/>
        <w:lang w:val="en-GB"/>
      </w:rPr>
      <w:t xml:space="preserve">eporting </w:t>
    </w:r>
    <w:r w:rsidRPr="000919AC">
      <w:rPr>
        <w:rFonts w:ascii="Arial" w:hAnsi="Arial" w:cs="Arial"/>
        <w:i/>
        <w:iCs/>
        <w:sz w:val="16"/>
        <w:szCs w:val="16"/>
        <w:lang w:val="en-GB"/>
      </w:rPr>
      <w:t>I</w:t>
    </w:r>
    <w:r w:rsidRPr="000919AC">
      <w:rPr>
        <w:rFonts w:ascii="Arial" w:hAnsi="Arial" w:cs="Arial"/>
        <w:sz w:val="16"/>
        <w:szCs w:val="16"/>
        <w:lang w:val="en-GB"/>
      </w:rPr>
      <w:t xml:space="preserve">tems for </w:t>
    </w:r>
    <w:r w:rsidRPr="000919AC">
      <w:rPr>
        <w:rFonts w:ascii="Arial" w:hAnsi="Arial" w:cs="Arial"/>
        <w:i/>
        <w:iCs/>
        <w:sz w:val="16"/>
        <w:szCs w:val="16"/>
        <w:lang w:val="en-GB"/>
      </w:rPr>
      <w:t>S</w:t>
    </w:r>
    <w:r w:rsidRPr="000919AC">
      <w:rPr>
        <w:rFonts w:ascii="Arial" w:hAnsi="Arial" w:cs="Arial"/>
        <w:sz w:val="16"/>
        <w:szCs w:val="16"/>
        <w:lang w:val="en-GB"/>
      </w:rPr>
      <w:t xml:space="preserve">ystematic Reviews and </w:t>
    </w:r>
    <w:r w:rsidRPr="000919AC">
      <w:rPr>
        <w:rFonts w:ascii="Arial" w:hAnsi="Arial" w:cs="Arial"/>
        <w:i/>
        <w:iCs/>
        <w:sz w:val="16"/>
        <w:szCs w:val="16"/>
        <w:lang w:val="en-GB"/>
      </w:rPr>
      <w:t>M</w:t>
    </w:r>
    <w:r w:rsidRPr="000919AC">
      <w:rPr>
        <w:rFonts w:ascii="Arial" w:hAnsi="Arial" w:cs="Arial"/>
        <w:sz w:val="16"/>
        <w:szCs w:val="16"/>
        <w:lang w:val="en-GB"/>
      </w:rPr>
      <w:t>eta-</w:t>
    </w:r>
    <w:r w:rsidRPr="000919AC">
      <w:rPr>
        <w:rFonts w:ascii="Arial" w:hAnsi="Arial" w:cs="Arial"/>
        <w:i/>
        <w:iCs/>
        <w:sz w:val="16"/>
        <w:szCs w:val="16"/>
        <w:lang w:val="en-GB"/>
      </w:rPr>
      <w:t>A</w:t>
    </w:r>
    <w:r w:rsidRPr="000919AC">
      <w:rPr>
        <w:rFonts w:ascii="Arial" w:hAnsi="Arial" w:cs="Arial"/>
        <w:sz w:val="16"/>
        <w:szCs w:val="16"/>
        <w:lang w:val="en-GB"/>
      </w:rPr>
      <w:t>nalyses: Th</w:t>
    </w:r>
    <w:r w:rsidR="00B63E5E">
      <w:rPr>
        <w:rFonts w:ascii="Arial" w:hAnsi="Arial" w:cs="Arial"/>
        <w:sz w:val="16"/>
        <w:szCs w:val="16"/>
        <w:lang w:val="en-GB"/>
      </w:rPr>
      <w:t xml:space="preserve">e PRISMA Statement. </w:t>
    </w:r>
    <w:proofErr w:type="spellStart"/>
    <w:r w:rsidR="00B63E5E">
      <w:rPr>
        <w:rFonts w:ascii="Arial" w:hAnsi="Arial" w:cs="Arial"/>
        <w:sz w:val="16"/>
        <w:szCs w:val="16"/>
        <w:lang w:val="en-GB"/>
      </w:rPr>
      <w:t>PLoS</w:t>
    </w:r>
    <w:proofErr w:type="spellEnd"/>
    <w:r w:rsidR="00B63E5E">
      <w:rPr>
        <w:rFonts w:ascii="Arial" w:hAnsi="Arial" w:cs="Arial"/>
        <w:sz w:val="16"/>
        <w:szCs w:val="16"/>
        <w:lang w:val="en-GB"/>
      </w:rPr>
      <w:t xml:space="preserve"> Med 6(7</w:t>
    </w:r>
    <w:r w:rsidRPr="000919AC">
      <w:rPr>
        <w:rFonts w:ascii="Arial" w:hAnsi="Arial" w:cs="Arial"/>
        <w:sz w:val="16"/>
        <w:szCs w:val="16"/>
        <w:lang w:val="en-GB"/>
      </w:rPr>
      <w:t>): e1000097. doi:10.1371/</w:t>
    </w:r>
    <w:proofErr w:type="gramStart"/>
    <w:r w:rsidRPr="000919AC">
      <w:rPr>
        <w:rFonts w:ascii="Arial" w:hAnsi="Arial" w:cs="Arial"/>
        <w:sz w:val="16"/>
        <w:szCs w:val="16"/>
        <w:lang w:val="en-GB"/>
      </w:rPr>
      <w:t>journal.pmed</w:t>
    </w:r>
    <w:proofErr w:type="gramEnd"/>
    <w:r w:rsidRPr="000919AC">
      <w:rPr>
        <w:rFonts w:ascii="Arial" w:hAnsi="Arial" w:cs="Arial"/>
        <w:sz w:val="16"/>
        <w:szCs w:val="16"/>
        <w:lang w:val="en-GB"/>
      </w:rPr>
      <w:t>1000097</w:t>
    </w:r>
  </w:p>
  <w:p w14:paraId="4421420F" w14:textId="77777777" w:rsidR="00C74E76" w:rsidRDefault="00C74E76" w:rsidP="00C74E76">
    <w:pPr>
      <w:widowControl w:val="0"/>
      <w:ind w:left="-720" w:right="-720"/>
      <w:jc w:val="center"/>
    </w:pPr>
  </w:p>
  <w:p w14:paraId="4AF0026E" w14:textId="77777777" w:rsidR="00C74E76" w:rsidRPr="000919AC" w:rsidRDefault="00C74E76" w:rsidP="00C74E76">
    <w:pPr>
      <w:ind w:left="-720"/>
      <w:jc w:val="center"/>
      <w:rPr>
        <w:lang w:val="en"/>
      </w:rPr>
    </w:pPr>
    <w:r w:rsidRPr="00995264">
      <w:rPr>
        <w:rFonts w:ascii="Calibri" w:hAnsi="Calibri" w:cs="Arial"/>
        <w:b/>
        <w:bCs/>
        <w:color w:val="003366"/>
        <w:sz w:val="18"/>
        <w:szCs w:val="18"/>
        <w:lang w:val="en"/>
      </w:rPr>
      <w:t>For more information, visit</w:t>
    </w:r>
    <w:r w:rsidRPr="00995264">
      <w:rPr>
        <w:rFonts w:ascii="Calibri" w:hAnsi="Calibri" w:cs="Arial"/>
        <w:b/>
        <w:bCs/>
        <w:sz w:val="18"/>
        <w:szCs w:val="18"/>
        <w:lang w:val="en"/>
      </w:rPr>
      <w:t xml:space="preserve"> </w:t>
    </w:r>
    <w:hyperlink r:id="rId1" w:history="1">
      <w:r w:rsidRPr="00995264">
        <w:rPr>
          <w:rStyle w:val="Hyperlink"/>
          <w:rFonts w:ascii="Calibri" w:hAnsi="Calibri" w:cs="Arial"/>
          <w:b/>
          <w:bCs/>
          <w:sz w:val="18"/>
          <w:szCs w:val="18"/>
          <w:lang w:val="en"/>
        </w:rPr>
        <w:t>www.prisma-statement.org</w:t>
      </w:r>
    </w:hyperlink>
    <w:r w:rsidRPr="00995264">
      <w:rPr>
        <w:rFonts w:ascii="Calibri" w:hAnsi="Calibri" w:cs="Arial"/>
        <w:b/>
        <w:bCs/>
        <w:sz w:val="18"/>
        <w:szCs w:val="18"/>
        <w:lang w:val="en"/>
      </w:rPr>
      <w:t>.</w:t>
    </w:r>
  </w:p>
  <w:p w14:paraId="749A0CA6" w14:textId="77777777" w:rsidR="00C74E76" w:rsidRDefault="00C74E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AB660" w14:textId="77777777" w:rsidR="00C87F90" w:rsidRDefault="00C87F90">
      <w:r>
        <w:separator/>
      </w:r>
    </w:p>
  </w:footnote>
  <w:footnote w:type="continuationSeparator" w:id="0">
    <w:p w14:paraId="797F9904" w14:textId="77777777" w:rsidR="00C87F90" w:rsidRDefault="00C87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rA0MjMzMjG0MLQ0trRQ0lEKTi0uzszPAykwqQUA5Ucu0SwAAAA="/>
  </w:docVars>
  <w:rsids>
    <w:rsidRoot w:val="00C74E76"/>
    <w:rsid w:val="0002134D"/>
    <w:rsid w:val="00082C18"/>
    <w:rsid w:val="000B7E47"/>
    <w:rsid w:val="000C3B95"/>
    <w:rsid w:val="0010269D"/>
    <w:rsid w:val="001124F6"/>
    <w:rsid w:val="00115613"/>
    <w:rsid w:val="00121BCB"/>
    <w:rsid w:val="00125AA0"/>
    <w:rsid w:val="00187EAB"/>
    <w:rsid w:val="0024026A"/>
    <w:rsid w:val="002E42AB"/>
    <w:rsid w:val="002F7554"/>
    <w:rsid w:val="003263CA"/>
    <w:rsid w:val="0033267D"/>
    <w:rsid w:val="00342BE7"/>
    <w:rsid w:val="00360E89"/>
    <w:rsid w:val="003738D2"/>
    <w:rsid w:val="003A33BD"/>
    <w:rsid w:val="003B4EF0"/>
    <w:rsid w:val="003E65AA"/>
    <w:rsid w:val="003F033D"/>
    <w:rsid w:val="00416DD8"/>
    <w:rsid w:val="00424E6C"/>
    <w:rsid w:val="004A0664"/>
    <w:rsid w:val="004C0346"/>
    <w:rsid w:val="004E1045"/>
    <w:rsid w:val="004E37CE"/>
    <w:rsid w:val="00541CE1"/>
    <w:rsid w:val="005A0FF0"/>
    <w:rsid w:val="005A5C50"/>
    <w:rsid w:val="005E66A6"/>
    <w:rsid w:val="006076C6"/>
    <w:rsid w:val="00613C1B"/>
    <w:rsid w:val="00626F9A"/>
    <w:rsid w:val="00654A70"/>
    <w:rsid w:val="00663BC8"/>
    <w:rsid w:val="0067015D"/>
    <w:rsid w:val="00692E63"/>
    <w:rsid w:val="006D603A"/>
    <w:rsid w:val="006F014F"/>
    <w:rsid w:val="007177A5"/>
    <w:rsid w:val="00742263"/>
    <w:rsid w:val="00743754"/>
    <w:rsid w:val="00751730"/>
    <w:rsid w:val="00775D28"/>
    <w:rsid w:val="007933D9"/>
    <w:rsid w:val="007B1808"/>
    <w:rsid w:val="007D54F9"/>
    <w:rsid w:val="007E31AF"/>
    <w:rsid w:val="00811CF7"/>
    <w:rsid w:val="00823C44"/>
    <w:rsid w:val="0085547B"/>
    <w:rsid w:val="008639C1"/>
    <w:rsid w:val="0087122F"/>
    <w:rsid w:val="008B372D"/>
    <w:rsid w:val="008D7742"/>
    <w:rsid w:val="008E59BA"/>
    <w:rsid w:val="008F13E4"/>
    <w:rsid w:val="008F2BBA"/>
    <w:rsid w:val="009675C8"/>
    <w:rsid w:val="009F47F2"/>
    <w:rsid w:val="009F489E"/>
    <w:rsid w:val="009F4E06"/>
    <w:rsid w:val="00A13C08"/>
    <w:rsid w:val="00A336FC"/>
    <w:rsid w:val="00A36F07"/>
    <w:rsid w:val="00A465ED"/>
    <w:rsid w:val="00A750B7"/>
    <w:rsid w:val="00AE0087"/>
    <w:rsid w:val="00B53C3D"/>
    <w:rsid w:val="00B63E5E"/>
    <w:rsid w:val="00C01FDD"/>
    <w:rsid w:val="00C142F3"/>
    <w:rsid w:val="00C266FE"/>
    <w:rsid w:val="00C543A3"/>
    <w:rsid w:val="00C63328"/>
    <w:rsid w:val="00C6430F"/>
    <w:rsid w:val="00C74E76"/>
    <w:rsid w:val="00C87F90"/>
    <w:rsid w:val="00CB3624"/>
    <w:rsid w:val="00CD216D"/>
    <w:rsid w:val="00CE0C1F"/>
    <w:rsid w:val="00D1639E"/>
    <w:rsid w:val="00D435B5"/>
    <w:rsid w:val="00DD0802"/>
    <w:rsid w:val="00DE53F4"/>
    <w:rsid w:val="00DF36FE"/>
    <w:rsid w:val="00E070CB"/>
    <w:rsid w:val="00E52A7A"/>
    <w:rsid w:val="00F3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  <o:rules v:ext="edit">
        <o:r id="V:Rule1" type="connector" idref="#_x0000_s1030"/>
        <o:r id="V:Rule2" type="connector" idref="#_x0000_s1041">
          <o:proxy start="" idref="#_x0000_s1034" connectloc="2"/>
          <o:proxy end="" idref="#_x0000_s1035" connectloc="0"/>
        </o:r>
        <o:r id="V:Rule3" type="connector" idref="#_x0000_s1031"/>
        <o:r id="V:Rule4" type="connector" idref="#_x0000_s1044">
          <o:proxy end="" idref="#_x0000_s1040" connectloc="0"/>
        </o:r>
        <o:r id="V:Rule5" type="connector" idref="#_x0000_s1045">
          <o:proxy start="" idref="#_x0000_s1035" connectloc="3"/>
          <o:proxy end="" idref="#_x0000_s1036" connectloc="1"/>
        </o:r>
        <o:r id="V:Rule6" type="connector" idref="#_x0000_s1046">
          <o:proxy start="" idref="#_x0000_s1037" connectloc="3"/>
        </o:r>
        <o:r id="V:Rule7" type="connector" idref="#_x0000_s1042">
          <o:proxy start="" idref="#_x0000_s1035" connectloc="2"/>
          <o:proxy end="" idref="#_x0000_s1037" connectloc="0"/>
        </o:r>
      </o:rules>
    </o:shapelayout>
  </w:shapeDefaults>
  <w:decimalSymbol w:val="."/>
  <w:listSeparator w:val=","/>
  <w14:docId w14:val="67C419B5"/>
  <w14:defaultImageDpi w14:val="330"/>
  <w15:chartTrackingRefBased/>
  <w15:docId w15:val="{C705DE1C-07B9-4A7A-B147-D33BA549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4E76"/>
    <w:rPr>
      <w:color w:val="000000"/>
      <w:kern w:val="28"/>
      <w:lang w:val="en-CA" w:eastAsia="en-CA"/>
    </w:rPr>
  </w:style>
  <w:style w:type="paragraph" w:styleId="Heading2">
    <w:name w:val="heading 2"/>
    <w:basedOn w:val="Normal"/>
    <w:next w:val="Normal"/>
    <w:qFormat/>
    <w:rsid w:val="00C74E76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74E76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paragraph" w:styleId="Footer">
    <w:name w:val="footer"/>
    <w:basedOn w:val="Normal"/>
    <w:rsid w:val="00C74E76"/>
    <w:pPr>
      <w:tabs>
        <w:tab w:val="center" w:pos="4320"/>
        <w:tab w:val="right" w:pos="8640"/>
      </w:tabs>
    </w:pPr>
  </w:style>
  <w:style w:type="character" w:styleId="Hyperlink">
    <w:name w:val="Hyperlink"/>
    <w:rsid w:val="00C74E76"/>
    <w:rPr>
      <w:color w:val="0066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ort-statemen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PRISMA 2009 Flow Diagram</vt:lpstr>
    </vt:vector>
  </TitlesOfParts>
  <Company>OHRI</Company>
  <LinksUpToDate>false</LinksUpToDate>
  <CharactersWithSpaces>45</CharactersWithSpaces>
  <SharedDoc>false</SharedDoc>
  <HLinks>
    <vt:vector size="6" baseType="variant">
      <vt:variant>
        <vt:i4>5439564</vt:i4>
      </vt:variant>
      <vt:variant>
        <vt:i4>0</vt:i4>
      </vt:variant>
      <vt:variant>
        <vt:i4>0</vt:i4>
      </vt:variant>
      <vt:variant>
        <vt:i4>5</vt:i4>
      </vt:variant>
      <vt:variant>
        <vt:lpwstr>http://www.consort-statement.org/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2009 Flow Diagram</dc:title>
  <dc:subject/>
  <dc:creator>mocampo</dc:creator>
  <cp:keywords/>
  <dc:description/>
  <cp:lastModifiedBy>Adamopoulos Efstathios</cp:lastModifiedBy>
  <cp:revision>5</cp:revision>
  <dcterms:created xsi:type="dcterms:W3CDTF">2020-07-26T00:39:00Z</dcterms:created>
  <dcterms:modified xsi:type="dcterms:W3CDTF">2020-08-17T01:37:00Z</dcterms:modified>
</cp:coreProperties>
</file>