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CAAD513" w14:textId="77777777" w:rsidR="00BA2FE5" w:rsidRPr="008462F3" w:rsidRDefault="00BA2FE5" w:rsidP="00BA2FE5">
      <w:pPr>
        <w:pStyle w:val="MDPI11articletype"/>
      </w:pPr>
      <w:r>
        <w:t>Article</w:t>
      </w:r>
    </w:p>
    <w:p w14:paraId="00BCFBB2" w14:textId="77777777" w:rsidR="00BA2FE5" w:rsidRDefault="00BA2FE5" w:rsidP="00BA2FE5">
      <w:pPr>
        <w:pStyle w:val="MDPI13authornames"/>
        <w:rPr>
          <w:snapToGrid w:val="0"/>
          <w:sz w:val="36"/>
          <w:szCs w:val="20"/>
        </w:rPr>
      </w:pPr>
      <w:r w:rsidRPr="00846298">
        <w:rPr>
          <w:snapToGrid w:val="0"/>
          <w:sz w:val="36"/>
          <w:szCs w:val="20"/>
        </w:rPr>
        <w:t>Seasonal salinization decreases spatial heterogeneity of sulfate reducing activity: A modified IRIS method characterization</w:t>
      </w:r>
    </w:p>
    <w:p w14:paraId="6D107B35" w14:textId="77777777" w:rsidR="00BA2FE5" w:rsidRPr="006A12CD" w:rsidRDefault="00BA2FE5" w:rsidP="00BA2FE5">
      <w:pPr>
        <w:pStyle w:val="MDPI13authornames"/>
      </w:pPr>
      <w:r>
        <w:t>Valerie</w:t>
      </w:r>
      <w:r w:rsidRPr="008462F3">
        <w:t xml:space="preserve"> </w:t>
      </w:r>
      <w:r>
        <w:t xml:space="preserve">A. Schoepfer </w:t>
      </w:r>
      <w:r w:rsidRPr="008462F3">
        <w:rPr>
          <w:vertAlign w:val="superscript"/>
        </w:rPr>
        <w:t>1</w:t>
      </w:r>
      <w:r>
        <w:rPr>
          <w:vertAlign w:val="superscript"/>
        </w:rPr>
        <w:t>,2</w:t>
      </w:r>
      <w:r w:rsidRPr="008462F3">
        <w:rPr>
          <w:vertAlign w:val="superscript"/>
        </w:rPr>
        <w:t>,</w:t>
      </w:r>
      <w:r w:rsidRPr="008462F3">
        <w:t xml:space="preserve">*, </w:t>
      </w:r>
      <w:r>
        <w:t>Amy J. Burgin</w:t>
      </w:r>
      <w:r w:rsidRPr="008462F3">
        <w:t xml:space="preserve"> </w:t>
      </w:r>
      <w:r>
        <w:rPr>
          <w:vertAlign w:val="superscript"/>
        </w:rPr>
        <w:t>1,3</w:t>
      </w:r>
      <w:r>
        <w:t xml:space="preserve">, Terry D. </w:t>
      </w:r>
      <w:proofErr w:type="spellStart"/>
      <w:r>
        <w:t>Loecke</w:t>
      </w:r>
      <w:proofErr w:type="spellEnd"/>
      <w:r w:rsidRPr="008462F3">
        <w:t xml:space="preserve"> </w:t>
      </w:r>
      <w:r>
        <w:rPr>
          <w:vertAlign w:val="superscript"/>
        </w:rPr>
        <w:t>1,3</w:t>
      </w:r>
      <w:r>
        <w:t xml:space="preserve"> and Ashley M. Helton </w:t>
      </w:r>
      <w:r w:rsidRPr="00431395">
        <w:rPr>
          <w:vertAlign w:val="superscript"/>
        </w:rPr>
        <w:t>4</w:t>
      </w:r>
    </w:p>
    <w:p w14:paraId="2C538C27" w14:textId="77777777" w:rsidR="00BA2FE5" w:rsidRDefault="00BA2FE5" w:rsidP="00BA2FE5">
      <w:pPr>
        <w:pStyle w:val="MDPI16affiliation"/>
      </w:pPr>
      <w:r w:rsidRPr="008462F3">
        <w:rPr>
          <w:vertAlign w:val="superscript"/>
        </w:rPr>
        <w:t>1</w:t>
      </w:r>
      <w:r>
        <w:tab/>
        <w:t xml:space="preserve">School of Natural Resources, University of Nebraska-Lincoln, Lincoln, NE, USA. </w:t>
      </w:r>
    </w:p>
    <w:p w14:paraId="1C3488C4" w14:textId="0858DD42" w:rsidR="00BA2FE5" w:rsidRPr="00BF794B" w:rsidRDefault="00BA2FE5" w:rsidP="00BA2FE5">
      <w:pPr>
        <w:pStyle w:val="MDPI16affiliation"/>
        <w:rPr>
          <w:vertAlign w:val="superscript"/>
        </w:rPr>
      </w:pPr>
      <w:r w:rsidRPr="00BF794B">
        <w:rPr>
          <w:vertAlign w:val="superscript"/>
        </w:rPr>
        <w:t>2</w:t>
      </w:r>
      <w:r>
        <w:rPr>
          <w:vertAlign w:val="superscript"/>
        </w:rPr>
        <w:t xml:space="preserve">  </w:t>
      </w:r>
      <w:r w:rsidR="00092D2B">
        <w:t>Current Address</w:t>
      </w:r>
      <w:r>
        <w:t xml:space="preserve">: </w:t>
      </w:r>
      <w:r w:rsidRPr="00846298">
        <w:t xml:space="preserve">Southern Cross </w:t>
      </w:r>
      <w:proofErr w:type="spellStart"/>
      <w:r w:rsidRPr="00846298">
        <w:t>GeoScience</w:t>
      </w:r>
      <w:proofErr w:type="spellEnd"/>
      <w:r w:rsidRPr="00846298">
        <w:t>, Southern Cross University, PO Box 157, Lismore, New South Wales 2480, Australia</w:t>
      </w:r>
      <w:r>
        <w:t>; vaschoepfer@gmail.com</w:t>
      </w:r>
    </w:p>
    <w:p w14:paraId="266F7D74" w14:textId="0000E0C0" w:rsidR="00BA2FE5" w:rsidRDefault="00BA2FE5" w:rsidP="00BA2FE5">
      <w:pPr>
        <w:pStyle w:val="MDPI16affiliation"/>
        <w:rPr>
          <w:szCs w:val="20"/>
        </w:rPr>
      </w:pPr>
      <w:r>
        <w:rPr>
          <w:szCs w:val="20"/>
          <w:vertAlign w:val="superscript"/>
        </w:rPr>
        <w:t>3</w:t>
      </w:r>
      <w:r w:rsidRPr="009C5C76">
        <w:rPr>
          <w:szCs w:val="20"/>
        </w:rPr>
        <w:tab/>
      </w:r>
      <w:r w:rsidR="00092D2B">
        <w:rPr>
          <w:szCs w:val="20"/>
        </w:rPr>
        <w:t>Current Address</w:t>
      </w:r>
      <w:r>
        <w:rPr>
          <w:szCs w:val="20"/>
        </w:rPr>
        <w:t xml:space="preserve">: University of Kansas and Kansas Biological Survey, Lawrence, KS, USA; </w:t>
      </w:r>
      <w:r w:rsidRPr="00B117F1">
        <w:rPr>
          <w:szCs w:val="20"/>
        </w:rPr>
        <w:t>burginam@ku.edu</w:t>
      </w:r>
      <w:r>
        <w:rPr>
          <w:szCs w:val="20"/>
        </w:rPr>
        <w:t xml:space="preserve">; </w:t>
      </w:r>
      <w:r w:rsidRPr="00B117F1">
        <w:rPr>
          <w:szCs w:val="20"/>
        </w:rPr>
        <w:t>loecke.terry@ku.edu</w:t>
      </w:r>
    </w:p>
    <w:p w14:paraId="1E2C921A" w14:textId="77777777" w:rsidR="00BA2FE5" w:rsidRDefault="00BA2FE5" w:rsidP="00BA2FE5">
      <w:pPr>
        <w:pStyle w:val="MDPI16affiliation"/>
        <w:rPr>
          <w:szCs w:val="20"/>
        </w:rPr>
      </w:pPr>
      <w:r>
        <w:rPr>
          <w:szCs w:val="20"/>
          <w:vertAlign w:val="superscript"/>
        </w:rPr>
        <w:t>4</w:t>
      </w:r>
      <w:r w:rsidRPr="009C5C76">
        <w:rPr>
          <w:szCs w:val="20"/>
        </w:rPr>
        <w:tab/>
      </w:r>
      <w:r>
        <w:t>Department of Natural Resources and the Environment, and the Center for Environmental Sciences and Engineering, University of Connecticut, Storrs, CT, USA</w:t>
      </w:r>
      <w:r>
        <w:rPr>
          <w:szCs w:val="20"/>
        </w:rPr>
        <w:t xml:space="preserve">; </w:t>
      </w:r>
      <w:r w:rsidRPr="00B117F1">
        <w:rPr>
          <w:szCs w:val="20"/>
        </w:rPr>
        <w:t>Ashley.Helton@uconn.edu</w:t>
      </w:r>
    </w:p>
    <w:p w14:paraId="2EEDA372" w14:textId="77777777" w:rsidR="00BA2FE5" w:rsidRPr="008462F3" w:rsidRDefault="00BA2FE5" w:rsidP="00BA2FE5">
      <w:pPr>
        <w:pStyle w:val="MDPI14history"/>
        <w:spacing w:before="0"/>
        <w:ind w:left="311" w:hanging="198"/>
      </w:pPr>
      <w:r w:rsidRPr="008462F3">
        <w:rPr>
          <w:b/>
        </w:rPr>
        <w:t>*</w:t>
      </w:r>
      <w:r>
        <w:tab/>
        <w:t>Correspondence: vaschoepfer@gmail.com</w:t>
      </w:r>
    </w:p>
    <w:p w14:paraId="6DA42880" w14:textId="77777777" w:rsidR="00BA2FE5" w:rsidRPr="008462F3" w:rsidRDefault="00BA2FE5" w:rsidP="00BA2FE5">
      <w:pPr>
        <w:pStyle w:val="MDPI14history"/>
      </w:pPr>
      <w:r w:rsidRPr="008462F3">
        <w:t>Received: date; Accepted: date; Published: date</w:t>
      </w:r>
    </w:p>
    <w:p w14:paraId="69BF2F6B" w14:textId="77777777" w:rsidR="009C7CFD" w:rsidRDefault="009C7CFD"/>
    <w:p w14:paraId="668B0239" w14:textId="77777777" w:rsidR="009C7CFD" w:rsidRDefault="009C7CFD" w:rsidP="009C7CFD">
      <w:pPr>
        <w:pStyle w:val="MDPI13authornames"/>
      </w:pPr>
      <w:r>
        <w:t>Supplemental Information</w:t>
      </w:r>
      <w:r>
        <w:br w:type="page"/>
      </w:r>
    </w:p>
    <w:p w14:paraId="7DE12330" w14:textId="77777777" w:rsidR="008F755F" w:rsidRDefault="00F26D98">
      <w:r>
        <w:rPr>
          <w:noProof/>
          <w:lang w:eastAsia="en-AU"/>
        </w:rPr>
        <w:lastRenderedPageBreak/>
        <w:drawing>
          <wp:inline distT="0" distB="0" distL="0" distR="0" wp14:anchorId="050D13C0" wp14:editId="61BB5E80">
            <wp:extent cx="5066030" cy="3042285"/>
            <wp:effectExtent l="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6030" cy="3042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0FEA83" w14:textId="77777777" w:rsidR="00704F1C" w:rsidRDefault="00F26D98" w:rsidP="00364106">
      <w:pPr>
        <w:pStyle w:val="MDPI61Supplementary"/>
      </w:pPr>
      <w:r w:rsidRPr="00364106">
        <w:t>Figure</w:t>
      </w:r>
      <w:r w:rsidRPr="008462F3">
        <w:t xml:space="preserve"> S1: </w:t>
      </w:r>
      <w:r>
        <w:t>FeS spa</w:t>
      </w:r>
      <w:r w:rsidR="00704F1C">
        <w:t>tial distribution and standards.</w:t>
      </w:r>
    </w:p>
    <w:p w14:paraId="1AA48A05" w14:textId="77777777" w:rsidR="00F26D98" w:rsidRPr="008462F3" w:rsidRDefault="00F26D98" w:rsidP="00364106">
      <w:pPr>
        <w:pStyle w:val="MDPI61Supplementary"/>
      </w:pPr>
      <w:r>
        <w:t xml:space="preserve">Top photo: A clear tub filled with sediment from the Timberlake site.  Orange streaks are </w:t>
      </w:r>
      <w:r w:rsidRPr="00364106">
        <w:t>iron</w:t>
      </w:r>
      <w:r w:rsidR="00704F1C">
        <w:t>(III)</w:t>
      </w:r>
      <w:r>
        <w:t xml:space="preserve"> oxides, while the black streaks are FeS complexes </w:t>
      </w:r>
      <w:r w:rsidRPr="00D11506">
        <w:rPr>
          <w:i/>
        </w:rPr>
        <w:t>in situ</w:t>
      </w:r>
      <w:r>
        <w:t xml:space="preserve">.  The bottom panel depicts the plate standard gradient after being soaked in a sodium sulfide solution for 24 hours.   </w:t>
      </w:r>
    </w:p>
    <w:p w14:paraId="354FA0E8" w14:textId="77777777" w:rsidR="00F26D98" w:rsidRDefault="00F26D98"/>
    <w:p w14:paraId="4ADCBBDF" w14:textId="77777777" w:rsidR="00F26D98" w:rsidRDefault="00F26D98">
      <w:r>
        <w:br w:type="page"/>
      </w:r>
    </w:p>
    <w:p w14:paraId="112040D1" w14:textId="77777777" w:rsidR="00F26D98" w:rsidRDefault="00F26D98"/>
    <w:p w14:paraId="1D634D7F" w14:textId="77777777" w:rsidR="00F26D98" w:rsidRDefault="00F26D98">
      <w:r>
        <w:rPr>
          <w:noProof/>
          <w:lang w:eastAsia="en-AU"/>
        </w:rPr>
        <w:drawing>
          <wp:inline distT="0" distB="0" distL="0" distR="0" wp14:anchorId="6C2545B7" wp14:editId="6CF068ED">
            <wp:extent cx="5086432" cy="470408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4186" cy="47112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5A0C420" w14:textId="77777777" w:rsidR="00F26D98" w:rsidRDefault="00F26D98" w:rsidP="00F26D98">
      <w:pPr>
        <w:pStyle w:val="MDPI61Supplementary"/>
      </w:pPr>
      <w:r w:rsidRPr="008462F3">
        <w:t>Figure S</w:t>
      </w:r>
      <w:r>
        <w:t>2</w:t>
      </w:r>
      <w:r w:rsidRPr="008462F3">
        <w:t xml:space="preserve">: </w:t>
      </w:r>
      <w:r>
        <w:t xml:space="preserve">Example image flow:  </w:t>
      </w:r>
      <w:r w:rsidR="00FE2A41">
        <w:t>Two plates following the same image processing flow beginning with 1) a raw, cropped plate, 2) a greyscale plate, 3) the same plate converted to a threshold</w:t>
      </w:r>
      <w:r w:rsidR="00704F1C">
        <w:t xml:space="preserve"> (black and white)</w:t>
      </w:r>
      <w:r w:rsidR="00D11506">
        <w:t>, and 4) an</w:t>
      </w:r>
      <w:r w:rsidR="00FE2A41">
        <w:t xml:space="preserve"> outline of each complex for analysis.</w:t>
      </w:r>
    </w:p>
    <w:p w14:paraId="636CE482" w14:textId="18E79B9C" w:rsidR="00857DA3" w:rsidRDefault="00857DA3">
      <w:r>
        <w:br w:type="page"/>
      </w:r>
    </w:p>
    <w:p w14:paraId="57611341" w14:textId="6A101258" w:rsidR="00472586" w:rsidRDefault="00472586" w:rsidP="00472586">
      <w:pPr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</w:pPr>
    </w:p>
    <w:p w14:paraId="422C8FFC" w14:textId="77777777" w:rsidR="00FE2A41" w:rsidRDefault="00472586" w:rsidP="00FE2A41">
      <w:pPr>
        <w:pStyle w:val="MDPI61Supplementary"/>
      </w:pPr>
      <w:r>
        <w:t xml:space="preserve">  </w:t>
      </w:r>
      <w:r>
        <w:rPr>
          <w:noProof/>
          <w:lang w:val="en-AU" w:eastAsia="en-AU" w:bidi="ar-SA"/>
        </w:rPr>
        <w:drawing>
          <wp:inline distT="0" distB="0" distL="0" distR="0" wp14:anchorId="6F4A5380" wp14:editId="117254A8">
            <wp:extent cx="2712720" cy="2127885"/>
            <wp:effectExtent l="0" t="0" r="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720" cy="2127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</w:t>
      </w:r>
      <w:r>
        <w:rPr>
          <w:noProof/>
          <w:lang w:val="en-AU" w:eastAsia="en-AU" w:bidi="ar-SA"/>
        </w:rPr>
        <w:drawing>
          <wp:inline distT="0" distB="0" distL="0" distR="0" wp14:anchorId="6A266DF2" wp14:editId="5F54D09A">
            <wp:extent cx="2711572" cy="2122576"/>
            <wp:effectExtent l="0" t="0" r="0" b="0"/>
            <wp:docPr id="5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able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1572" cy="2122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9C9B8D" w14:textId="77777777" w:rsidR="00472586" w:rsidRDefault="00472586" w:rsidP="00472586">
      <w:pPr>
        <w:pStyle w:val="MDPI61Supplementary"/>
        <w:ind w:left="720"/>
      </w:pPr>
      <w:r>
        <w:t xml:space="preserve">a. </w:t>
      </w:r>
      <w:r>
        <w:tab/>
      </w:r>
      <w:r>
        <w:tab/>
      </w:r>
      <w:r>
        <w:tab/>
      </w:r>
      <w:r>
        <w:tab/>
      </w:r>
      <w:r>
        <w:tab/>
      </w:r>
      <w:r>
        <w:tab/>
        <w:t>b.</w:t>
      </w:r>
    </w:p>
    <w:p w14:paraId="0D08445F" w14:textId="679C474B" w:rsidR="00472586" w:rsidRDefault="00472586" w:rsidP="00472586">
      <w:pPr>
        <w:pStyle w:val="MDPI61Supplementary"/>
      </w:pPr>
      <w:r>
        <w:t>Figure S</w:t>
      </w:r>
      <w:r w:rsidR="00D144CD">
        <w:t>3</w:t>
      </w:r>
      <w:r>
        <w:t>.  a) A model plate with a smaller nugget parameter.  There is less distinct change when looking at the entire plate as a whole.  b) A model plate with a larger nugget, or a plate with distinct differences between the background and the colored location</w:t>
      </w:r>
      <w:r w:rsidR="00704F1C">
        <w:t>.</w:t>
      </w:r>
    </w:p>
    <w:p w14:paraId="1133A351" w14:textId="261D9CEE" w:rsidR="00C87634" w:rsidRDefault="00C87634">
      <w:pPr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</w:pPr>
      <w:r>
        <w:br w:type="page"/>
      </w:r>
    </w:p>
    <w:p w14:paraId="591A14BA" w14:textId="5899FB3C" w:rsidR="00472586" w:rsidRDefault="00472586" w:rsidP="00FE2A41">
      <w:pPr>
        <w:pStyle w:val="MDPI61Supplementary"/>
      </w:pPr>
    </w:p>
    <w:p w14:paraId="0743096D" w14:textId="51E7DC51" w:rsidR="00C87634" w:rsidRDefault="00422CC1" w:rsidP="00FE2A41">
      <w:pPr>
        <w:pStyle w:val="MDPI61Supplementary"/>
      </w:pPr>
      <w:r>
        <w:rPr>
          <w:noProof/>
        </w:rPr>
        <w:drawing>
          <wp:inline distT="0" distB="0" distL="0" distR="0" wp14:anchorId="6E7A7EAC" wp14:editId="079824ED">
            <wp:extent cx="3732192" cy="3498850"/>
            <wp:effectExtent l="0" t="0" r="1905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86"/>
                    <a:stretch/>
                  </pic:blipFill>
                  <pic:spPr bwMode="auto">
                    <a:xfrm>
                      <a:off x="0" y="0"/>
                      <a:ext cx="3736942" cy="3503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481A92" w14:textId="39CBD96D" w:rsidR="00C87634" w:rsidRPr="005D30E7" w:rsidRDefault="00C87634" w:rsidP="00FE2A41">
      <w:pPr>
        <w:pStyle w:val="MDPI61Supplementary"/>
        <w:rPr>
          <w:color w:val="auto"/>
        </w:rPr>
      </w:pPr>
      <w:r w:rsidRPr="005D30E7">
        <w:rPr>
          <w:color w:val="auto"/>
        </w:rPr>
        <w:t xml:space="preserve">Figure S4. </w:t>
      </w:r>
      <w:r w:rsidR="00503AE4" w:rsidRPr="005D30E7">
        <w:rPr>
          <w:color w:val="auto"/>
        </w:rPr>
        <w:t xml:space="preserve">The </w:t>
      </w:r>
      <w:r w:rsidR="00545888" w:rsidRPr="005D30E7">
        <w:rPr>
          <w:color w:val="auto"/>
        </w:rPr>
        <w:t xml:space="preserve">average </w:t>
      </w:r>
      <w:r w:rsidR="00503AE4" w:rsidRPr="005D30E7">
        <w:rPr>
          <w:color w:val="auto"/>
        </w:rPr>
        <w:t xml:space="preserve">area </w:t>
      </w:r>
      <w:r w:rsidR="00422CC1" w:rsidRPr="005D30E7">
        <w:rPr>
          <w:color w:val="auto"/>
        </w:rPr>
        <w:t xml:space="preserve">per </w:t>
      </w:r>
      <w:r w:rsidR="00545888" w:rsidRPr="005D30E7">
        <w:rPr>
          <w:color w:val="auto"/>
        </w:rPr>
        <w:t>comple</w:t>
      </w:r>
      <w:bookmarkStart w:id="0" w:name="_GoBack"/>
      <w:bookmarkEnd w:id="0"/>
      <w:r w:rsidR="00545888" w:rsidRPr="005D30E7">
        <w:rPr>
          <w:color w:val="auto"/>
        </w:rPr>
        <w:t>x as</w:t>
      </w:r>
      <w:r w:rsidR="00503AE4" w:rsidRPr="005D30E7">
        <w:rPr>
          <w:color w:val="auto"/>
        </w:rPr>
        <w:t xml:space="preserve"> depicted according to month and distance.   </w:t>
      </w:r>
      <w:r w:rsidR="005D30E7" w:rsidRPr="005D30E7">
        <w:rPr>
          <w:noProof/>
          <w:color w:val="auto"/>
          <w:lang w:val="en-AU" w:eastAsia="en-AU"/>
        </w:rPr>
        <w:t>Values were determined through division of the total area occupied by the colored pixels divided by the number of colored pixels.  Error bars denote standard errors.</w:t>
      </w:r>
    </w:p>
    <w:p w14:paraId="4DFA9E80" w14:textId="229F7AEE" w:rsidR="00503AE4" w:rsidRDefault="00503AE4">
      <w:pPr>
        <w:rPr>
          <w:rFonts w:ascii="Palatino Linotype" w:eastAsia="Times New Roman" w:hAnsi="Palatino Linotype" w:cs="Times New Roman"/>
          <w:snapToGrid w:val="0"/>
          <w:color w:val="000000"/>
          <w:sz w:val="18"/>
          <w:szCs w:val="20"/>
          <w:lang w:val="en-US" w:bidi="en-US"/>
        </w:rPr>
      </w:pPr>
      <w:r>
        <w:br w:type="page"/>
      </w:r>
    </w:p>
    <w:p w14:paraId="1D96E7D1" w14:textId="77777777" w:rsidR="00503AE4" w:rsidRDefault="00503AE4" w:rsidP="00503AE4">
      <w:pPr>
        <w:pStyle w:val="MDPI61Supplementary"/>
      </w:pPr>
      <w:r>
        <w:rPr>
          <w:noProof/>
        </w:rPr>
        <w:lastRenderedPageBreak/>
        <w:drawing>
          <wp:inline distT="0" distB="0" distL="0" distR="0" wp14:anchorId="01CFBAB8" wp14:editId="193AE7D5">
            <wp:extent cx="3676650" cy="36766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47FD5D" w14:textId="5B1E7DB4" w:rsidR="00503AE4" w:rsidRDefault="00503AE4" w:rsidP="00503AE4">
      <w:pPr>
        <w:pStyle w:val="MDPI61Supplementary"/>
      </w:pPr>
      <w:r>
        <w:t xml:space="preserve">Figure S5. A histogram of the concentrations found per pixel on one plate.  The x-axis shows the concentrations (a value of  zero here equaling no </w:t>
      </w:r>
      <w:proofErr w:type="spellStart"/>
      <w:r>
        <w:t>FeS</w:t>
      </w:r>
      <w:proofErr w:type="spellEnd"/>
      <w:r>
        <w:t xml:space="preserve">, and a value of 255 indicating complete black with intermediate values as varying shades of grey.  The frequency of each concentration per pixel is found on the y-axis.  Among this plate, there are more lighter colored pixels and fewer darker pixels in August at 0 km. This analysis is conducted before the </w:t>
      </w:r>
      <w:proofErr w:type="spellStart"/>
      <w:r>
        <w:t>semivariogram</w:t>
      </w:r>
      <w:proofErr w:type="spellEnd"/>
      <w:r>
        <w:t xml:space="preserve"> procedure, resulting in only 5 plates per site and distance, however this encompasses all pixels on the plate.  A similar procedure can be conducted for each plate and compared among site and time.</w:t>
      </w:r>
    </w:p>
    <w:p w14:paraId="5B3BBB8D" w14:textId="77777777" w:rsidR="00503AE4" w:rsidRDefault="00503AE4" w:rsidP="00FE2A41">
      <w:pPr>
        <w:pStyle w:val="MDPI61Supplementary"/>
      </w:pPr>
    </w:p>
    <w:sectPr w:rsidR="00503AE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2F2AD4"/>
    <w:multiLevelType w:val="hybridMultilevel"/>
    <w:tmpl w:val="DC7AB69E"/>
    <w:lvl w:ilvl="0" w:tplc="0C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6D98"/>
    <w:rsid w:val="000815CE"/>
    <w:rsid w:val="00092D2B"/>
    <w:rsid w:val="00364106"/>
    <w:rsid w:val="003A2A84"/>
    <w:rsid w:val="00422CC1"/>
    <w:rsid w:val="00472586"/>
    <w:rsid w:val="004D6834"/>
    <w:rsid w:val="00503AE4"/>
    <w:rsid w:val="00545888"/>
    <w:rsid w:val="005D30E7"/>
    <w:rsid w:val="005F30F3"/>
    <w:rsid w:val="00704F1C"/>
    <w:rsid w:val="008361FF"/>
    <w:rsid w:val="00857DA3"/>
    <w:rsid w:val="008A2BC1"/>
    <w:rsid w:val="008F755F"/>
    <w:rsid w:val="009309EE"/>
    <w:rsid w:val="009C7CFD"/>
    <w:rsid w:val="009F24E9"/>
    <w:rsid w:val="00B6783C"/>
    <w:rsid w:val="00BA2FE5"/>
    <w:rsid w:val="00C87634"/>
    <w:rsid w:val="00C9299F"/>
    <w:rsid w:val="00D11506"/>
    <w:rsid w:val="00D144CD"/>
    <w:rsid w:val="00D67E9B"/>
    <w:rsid w:val="00DE4595"/>
    <w:rsid w:val="00E57D53"/>
    <w:rsid w:val="00F26D98"/>
    <w:rsid w:val="00F90A30"/>
    <w:rsid w:val="00FE2A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283BAF"/>
  <w15:chartTrackingRefBased/>
  <w15:docId w15:val="{8C2299BE-4D66-4FC6-AC3C-11F14C23CF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61Supplementary">
    <w:name w:val="MDPI_6.1_Supplementary"/>
    <w:basedOn w:val="Normal"/>
    <w:qFormat/>
    <w:rsid w:val="00F26D98"/>
    <w:pPr>
      <w:adjustRightInd w:val="0"/>
      <w:snapToGrid w:val="0"/>
      <w:spacing w:before="240" w:after="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bidi="en-US"/>
    </w:rPr>
  </w:style>
  <w:style w:type="paragraph" w:customStyle="1" w:styleId="MDPI13authornames">
    <w:name w:val="MDPI_1.3_authornames"/>
    <w:basedOn w:val="Normal"/>
    <w:next w:val="MDPI14history"/>
    <w:qFormat/>
    <w:rsid w:val="009C7CFD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4history">
    <w:name w:val="MDPI_1.4_history"/>
    <w:basedOn w:val="Normal"/>
    <w:next w:val="Normal"/>
    <w:qFormat/>
    <w:rsid w:val="009C7CFD"/>
    <w:pPr>
      <w:adjustRightInd w:val="0"/>
      <w:snapToGrid w:val="0"/>
      <w:spacing w:before="120" w:after="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16affiliation">
    <w:name w:val="MDPI_1.6_affiliation"/>
    <w:basedOn w:val="Normal"/>
    <w:qFormat/>
    <w:rsid w:val="009C7CFD"/>
    <w:pPr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val="en-US" w:eastAsia="de-DE" w:bidi="en-US"/>
    </w:rPr>
  </w:style>
  <w:style w:type="paragraph" w:customStyle="1" w:styleId="MDPI11articletype">
    <w:name w:val="MDPI_1.1_article_type"/>
    <w:basedOn w:val="Normal"/>
    <w:next w:val="Normal"/>
    <w:qFormat/>
    <w:rsid w:val="00D11506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color w:val="000000"/>
      <w:sz w:val="20"/>
      <w:lang w:val="en-US"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2688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tiff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402</Words>
  <Characters>2292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Southern Cross University</Company>
  <LinksUpToDate>false</LinksUpToDate>
  <CharactersWithSpaces>2689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Valerie Schoepfer</dc:creator>
  <cp:keywords/>
  <dc:description/>
  <cp:lastModifiedBy>Valerie Schoepfer</cp:lastModifiedBy>
  <cp:revision>2</cp:revision>
  <dcterms:created xsi:type="dcterms:W3CDTF">2019-03-21T13:46:00Z</dcterms:created>
  <dcterms:modified xsi:type="dcterms:W3CDTF">2019-03-21T13:46:00Z</dcterms:modified>
</cp:coreProperties>
</file>