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31646" w14:textId="3CFEED45" w:rsidR="00403F01" w:rsidRPr="00403F01" w:rsidRDefault="00403F01" w:rsidP="00403F01">
      <w:pPr>
        <w:pStyle w:val="MDPI12title"/>
        <w:jc w:val="center"/>
        <w:rPr>
          <w:b w:val="0"/>
        </w:rPr>
      </w:pPr>
      <w:r w:rsidRPr="00403F01">
        <w:rPr>
          <w:b w:val="0"/>
        </w:rPr>
        <w:t>Supplementary Materials</w:t>
      </w:r>
    </w:p>
    <w:p w14:paraId="482E008B" w14:textId="18E8E3AD" w:rsidR="00403F01" w:rsidRPr="00185623" w:rsidRDefault="00403F01" w:rsidP="00403F01">
      <w:pPr>
        <w:pStyle w:val="MDPI12title"/>
      </w:pPr>
      <w:r w:rsidRPr="00185623">
        <w:t>An Expert Elicitation of the Effects of Low Salinity Water Exposure on Bottlenose Dolphins</w:t>
      </w:r>
    </w:p>
    <w:p w14:paraId="182C224A" w14:textId="2BD1059D" w:rsidR="0043682E" w:rsidRPr="00403F01" w:rsidRDefault="0043682E" w:rsidP="00403F01">
      <w:pPr>
        <w:adjustRightInd w:val="0"/>
        <w:snapToGrid w:val="0"/>
        <w:spacing w:before="360" w:after="120" w:line="240" w:lineRule="auto"/>
        <w:jc w:val="both"/>
        <w:rPr>
          <w:rFonts w:ascii="Palatino Linotype" w:hAnsi="Palatino Linotype" w:cs="Times New Roman"/>
          <w:b/>
          <w:bCs/>
          <w:i/>
          <w:iCs/>
          <w:sz w:val="20"/>
          <w:szCs w:val="24"/>
        </w:rPr>
      </w:pPr>
      <w:r w:rsidRPr="00403F01">
        <w:rPr>
          <w:rFonts w:ascii="Palatino Linotype" w:hAnsi="Palatino Linotype" w:cs="Times New Roman"/>
          <w:b/>
          <w:bCs/>
          <w:i/>
          <w:iCs/>
          <w:sz w:val="20"/>
          <w:szCs w:val="24"/>
        </w:rPr>
        <w:t>Tables</w:t>
      </w:r>
    </w:p>
    <w:p w14:paraId="60DF5E21" w14:textId="2CA388A5" w:rsidR="005A2B66" w:rsidRPr="00403F01" w:rsidRDefault="005A2B66" w:rsidP="00403F01">
      <w:pPr>
        <w:pStyle w:val="Caption"/>
        <w:keepNext/>
        <w:jc w:val="center"/>
        <w:rPr>
          <w:rFonts w:ascii="Palatino Linotype" w:hAnsi="Palatino Linotype"/>
          <w:i w:val="0"/>
          <w:color w:val="auto"/>
          <w:sz w:val="20"/>
        </w:rPr>
      </w:pPr>
      <w:r w:rsidRPr="00403F01">
        <w:rPr>
          <w:rFonts w:ascii="Palatino Linotype" w:hAnsi="Palatino Linotype"/>
          <w:b/>
          <w:i w:val="0"/>
          <w:color w:val="auto"/>
          <w:sz w:val="20"/>
        </w:rPr>
        <w:t>Table S</w:t>
      </w:r>
      <w:r w:rsidR="001A3D57" w:rsidRPr="00403F01">
        <w:rPr>
          <w:rFonts w:ascii="Palatino Linotype" w:hAnsi="Palatino Linotype"/>
          <w:b/>
          <w:i w:val="0"/>
          <w:noProof/>
          <w:color w:val="auto"/>
          <w:sz w:val="20"/>
        </w:rPr>
        <w:fldChar w:fldCharType="begin"/>
      </w:r>
      <w:r w:rsidR="001A3D57" w:rsidRPr="00403F01">
        <w:rPr>
          <w:rFonts w:ascii="Palatino Linotype" w:hAnsi="Palatino Linotype"/>
          <w:b/>
          <w:i w:val="0"/>
          <w:noProof/>
          <w:color w:val="auto"/>
          <w:sz w:val="20"/>
        </w:rPr>
        <w:instrText xml:space="preserve"> SEQ Table \* ARABIC </w:instrText>
      </w:r>
      <w:r w:rsidR="001A3D57" w:rsidRPr="00403F01">
        <w:rPr>
          <w:rFonts w:ascii="Palatino Linotype" w:hAnsi="Palatino Linotype"/>
          <w:b/>
          <w:i w:val="0"/>
          <w:noProof/>
          <w:color w:val="auto"/>
          <w:sz w:val="20"/>
        </w:rPr>
        <w:fldChar w:fldCharType="separate"/>
      </w:r>
      <w:r w:rsidRPr="00403F01">
        <w:rPr>
          <w:rFonts w:ascii="Palatino Linotype" w:hAnsi="Palatino Linotype"/>
          <w:b/>
          <w:i w:val="0"/>
          <w:noProof/>
          <w:color w:val="auto"/>
          <w:sz w:val="20"/>
        </w:rPr>
        <w:t>1</w:t>
      </w:r>
      <w:r w:rsidR="001A3D57" w:rsidRPr="00403F01">
        <w:rPr>
          <w:rFonts w:ascii="Palatino Linotype" w:hAnsi="Palatino Linotype"/>
          <w:b/>
          <w:i w:val="0"/>
          <w:noProof/>
          <w:color w:val="auto"/>
          <w:sz w:val="20"/>
        </w:rPr>
        <w:fldChar w:fldCharType="end"/>
      </w:r>
      <w:r w:rsidR="00403F01">
        <w:rPr>
          <w:rFonts w:ascii="Palatino Linotype" w:hAnsi="Palatino Linotype"/>
          <w:i w:val="0"/>
          <w:noProof/>
          <w:color w:val="auto"/>
          <w:sz w:val="20"/>
        </w:rPr>
        <w:t>.</w:t>
      </w:r>
      <w:r w:rsidRPr="00403F01">
        <w:rPr>
          <w:rFonts w:ascii="Palatino Linotype" w:hAnsi="Palatino Linotype"/>
          <w:i w:val="0"/>
          <w:color w:val="auto"/>
          <w:sz w:val="20"/>
        </w:rPr>
        <w:t xml:space="preserve"> Expert elicitation workshop participants, relevant expertise and roles</w:t>
      </w:r>
      <w:r w:rsidRPr="00403F01">
        <w:rPr>
          <w:rFonts w:ascii="Palatino Linotype" w:hAnsi="Palatino Linotype"/>
          <w:i w:val="0"/>
          <w:noProof/>
          <w:color w:val="auto"/>
          <w:sz w:val="20"/>
        </w:rPr>
        <w:t>.</w:t>
      </w:r>
    </w:p>
    <w:tbl>
      <w:tblPr>
        <w:tblStyle w:val="TableGrid"/>
        <w:tblW w:w="9067" w:type="dxa"/>
        <w:tblLook w:val="04A0" w:firstRow="1" w:lastRow="0" w:firstColumn="1" w:lastColumn="0" w:noHBand="0" w:noVBand="1"/>
      </w:tblPr>
      <w:tblGrid>
        <w:gridCol w:w="2122"/>
        <w:gridCol w:w="5670"/>
        <w:gridCol w:w="1275"/>
      </w:tblGrid>
      <w:tr w:rsidR="0043682E" w:rsidRPr="00403F01" w14:paraId="2422204B" w14:textId="713F4F18" w:rsidTr="00FB4DC3">
        <w:tc>
          <w:tcPr>
            <w:tcW w:w="2122" w:type="dxa"/>
          </w:tcPr>
          <w:p w14:paraId="7FB0DE13" w14:textId="5F1E737C" w:rsidR="0043682E" w:rsidRPr="00403F01" w:rsidRDefault="0043682E" w:rsidP="00510E59">
            <w:pPr>
              <w:jc w:val="both"/>
              <w:rPr>
                <w:rFonts w:ascii="Palatino Linotype" w:hAnsi="Palatino Linotype" w:cs="Times New Roman"/>
                <w:b/>
                <w:bCs/>
                <w:sz w:val="20"/>
                <w:szCs w:val="20"/>
              </w:rPr>
            </w:pPr>
            <w:r w:rsidRPr="00403F01">
              <w:rPr>
                <w:rFonts w:ascii="Palatino Linotype" w:hAnsi="Palatino Linotype" w:cs="Times New Roman"/>
                <w:b/>
                <w:bCs/>
                <w:sz w:val="20"/>
                <w:szCs w:val="20"/>
              </w:rPr>
              <w:t>Name</w:t>
            </w:r>
          </w:p>
        </w:tc>
        <w:tc>
          <w:tcPr>
            <w:tcW w:w="5670" w:type="dxa"/>
          </w:tcPr>
          <w:p w14:paraId="3FE7367D" w14:textId="2FCB9F77" w:rsidR="0043682E" w:rsidRPr="00403F01" w:rsidRDefault="00A56066" w:rsidP="00510E59">
            <w:pPr>
              <w:jc w:val="both"/>
              <w:rPr>
                <w:rFonts w:ascii="Palatino Linotype" w:hAnsi="Palatino Linotype" w:cs="Times New Roman"/>
                <w:b/>
                <w:bCs/>
                <w:sz w:val="20"/>
                <w:szCs w:val="20"/>
              </w:rPr>
            </w:pPr>
            <w:r w:rsidRPr="00403F01">
              <w:rPr>
                <w:rFonts w:ascii="Palatino Linotype" w:hAnsi="Palatino Linotype" w:cs="Times New Roman"/>
                <w:b/>
                <w:bCs/>
                <w:sz w:val="20"/>
                <w:szCs w:val="20"/>
              </w:rPr>
              <w:t>Relevant e</w:t>
            </w:r>
            <w:r w:rsidR="0043682E" w:rsidRPr="00403F01">
              <w:rPr>
                <w:rFonts w:ascii="Palatino Linotype" w:hAnsi="Palatino Linotype" w:cs="Times New Roman"/>
                <w:b/>
                <w:bCs/>
                <w:sz w:val="20"/>
                <w:szCs w:val="20"/>
              </w:rPr>
              <w:t>xpertise</w:t>
            </w:r>
          </w:p>
        </w:tc>
        <w:tc>
          <w:tcPr>
            <w:tcW w:w="1275" w:type="dxa"/>
          </w:tcPr>
          <w:p w14:paraId="24CA45C7" w14:textId="6DAE4D62" w:rsidR="0043682E" w:rsidRPr="00403F01" w:rsidRDefault="0043682E" w:rsidP="00510E59">
            <w:pPr>
              <w:jc w:val="both"/>
              <w:rPr>
                <w:rFonts w:ascii="Palatino Linotype" w:hAnsi="Palatino Linotype" w:cs="Times New Roman"/>
                <w:b/>
                <w:bCs/>
                <w:sz w:val="20"/>
                <w:szCs w:val="20"/>
              </w:rPr>
            </w:pPr>
            <w:r w:rsidRPr="00403F01">
              <w:rPr>
                <w:rFonts w:ascii="Palatino Linotype" w:hAnsi="Palatino Linotype" w:cs="Times New Roman"/>
                <w:b/>
                <w:bCs/>
                <w:sz w:val="20"/>
                <w:szCs w:val="20"/>
              </w:rPr>
              <w:t>EE</w:t>
            </w:r>
            <w:r w:rsidR="00FB4DC3" w:rsidRPr="00403F01">
              <w:rPr>
                <w:rFonts w:ascii="Palatino Linotype" w:hAnsi="Palatino Linotype" w:cs="Times New Roman"/>
                <w:b/>
                <w:bCs/>
                <w:sz w:val="20"/>
                <w:szCs w:val="20"/>
              </w:rPr>
              <w:t xml:space="preserve"> Role</w:t>
            </w:r>
          </w:p>
        </w:tc>
      </w:tr>
      <w:tr w:rsidR="0043682E" w:rsidRPr="00403F01" w14:paraId="5DEA0DAA" w14:textId="7EE3B915" w:rsidTr="00FB4DC3">
        <w:tc>
          <w:tcPr>
            <w:tcW w:w="2122" w:type="dxa"/>
            <w:vAlign w:val="center"/>
          </w:tcPr>
          <w:p w14:paraId="4C3DB0A4" w14:textId="7522D154" w:rsidR="0043682E" w:rsidRPr="00403F01" w:rsidRDefault="0043682E" w:rsidP="00FB4DC3">
            <w:pPr>
              <w:rPr>
                <w:rFonts w:ascii="Palatino Linotype" w:hAnsi="Palatino Linotype" w:cs="Times New Roman"/>
                <w:sz w:val="20"/>
                <w:szCs w:val="20"/>
              </w:rPr>
            </w:pPr>
            <w:r w:rsidRPr="00403F01">
              <w:rPr>
                <w:rFonts w:ascii="Palatino Linotype" w:hAnsi="Palatino Linotype" w:cs="Times New Roman"/>
                <w:sz w:val="20"/>
                <w:szCs w:val="20"/>
              </w:rPr>
              <w:t>Leslie Hart</w:t>
            </w:r>
          </w:p>
        </w:tc>
        <w:tc>
          <w:tcPr>
            <w:tcW w:w="5670" w:type="dxa"/>
          </w:tcPr>
          <w:p w14:paraId="3E36F88D" w14:textId="2608F119" w:rsidR="0043682E" w:rsidRPr="00403F01" w:rsidRDefault="00405F2B" w:rsidP="00510E59">
            <w:pPr>
              <w:jc w:val="both"/>
              <w:rPr>
                <w:rFonts w:ascii="Palatino Linotype" w:hAnsi="Palatino Linotype" w:cs="Times New Roman"/>
                <w:sz w:val="20"/>
                <w:szCs w:val="20"/>
              </w:rPr>
            </w:pPr>
            <w:r w:rsidRPr="00403F01">
              <w:rPr>
                <w:rFonts w:ascii="Palatino Linotype" w:hAnsi="Palatino Linotype" w:cs="Times New Roman"/>
                <w:sz w:val="20"/>
                <w:szCs w:val="20"/>
              </w:rPr>
              <w:t xml:space="preserve">Epidemiology </w:t>
            </w:r>
            <w:r w:rsidR="003811BC" w:rsidRPr="00403F01">
              <w:rPr>
                <w:rFonts w:ascii="Palatino Linotype" w:hAnsi="Palatino Linotype" w:cs="Times New Roman"/>
                <w:sz w:val="20"/>
                <w:szCs w:val="20"/>
              </w:rPr>
              <w:t>and endocrinology</w:t>
            </w:r>
          </w:p>
        </w:tc>
        <w:tc>
          <w:tcPr>
            <w:tcW w:w="1275" w:type="dxa"/>
          </w:tcPr>
          <w:p w14:paraId="01405A03" w14:textId="4E23DFBB"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06DF9C11" w14:textId="1CC9D07A" w:rsidTr="00FB4DC3">
        <w:tc>
          <w:tcPr>
            <w:tcW w:w="2122" w:type="dxa"/>
            <w:vAlign w:val="center"/>
          </w:tcPr>
          <w:p w14:paraId="771B27CB" w14:textId="091DB09A" w:rsidR="0043682E" w:rsidRPr="00403F01" w:rsidRDefault="003811BC" w:rsidP="00FB4DC3">
            <w:pPr>
              <w:rPr>
                <w:rFonts w:ascii="Palatino Linotype" w:hAnsi="Palatino Linotype" w:cs="Times New Roman"/>
                <w:sz w:val="20"/>
                <w:szCs w:val="20"/>
              </w:rPr>
            </w:pPr>
            <w:r w:rsidRPr="00403F01">
              <w:rPr>
                <w:rFonts w:ascii="Palatino Linotype" w:hAnsi="Palatino Linotype" w:cs="Times New Roman"/>
                <w:sz w:val="20"/>
                <w:szCs w:val="20"/>
              </w:rPr>
              <w:t xml:space="preserve">Michael </w:t>
            </w:r>
            <w:proofErr w:type="spellStart"/>
            <w:r w:rsidRPr="00403F01">
              <w:rPr>
                <w:rFonts w:ascii="Palatino Linotype" w:hAnsi="Palatino Linotype" w:cs="Times New Roman"/>
                <w:sz w:val="20"/>
                <w:szCs w:val="20"/>
              </w:rPr>
              <w:t>Janech</w:t>
            </w:r>
            <w:proofErr w:type="spellEnd"/>
          </w:p>
        </w:tc>
        <w:tc>
          <w:tcPr>
            <w:tcW w:w="5670" w:type="dxa"/>
          </w:tcPr>
          <w:p w14:paraId="135D8C64" w14:textId="33AD65F9"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Disease in marine mammals</w:t>
            </w:r>
          </w:p>
        </w:tc>
        <w:tc>
          <w:tcPr>
            <w:tcW w:w="1275" w:type="dxa"/>
          </w:tcPr>
          <w:p w14:paraId="054F9252" w14:textId="00636FD9"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7D2BE2F2" w14:textId="58AD0308" w:rsidTr="00FB4DC3">
        <w:tc>
          <w:tcPr>
            <w:tcW w:w="2122" w:type="dxa"/>
            <w:vAlign w:val="center"/>
          </w:tcPr>
          <w:p w14:paraId="4B72F372" w14:textId="72F0B068" w:rsidR="0043682E" w:rsidRPr="00403F01" w:rsidRDefault="00405F2B" w:rsidP="00FB4DC3">
            <w:pPr>
              <w:rPr>
                <w:rFonts w:ascii="Palatino Linotype" w:hAnsi="Palatino Linotype" w:cs="Times New Roman"/>
                <w:sz w:val="20"/>
                <w:szCs w:val="20"/>
              </w:rPr>
            </w:pPr>
            <w:r w:rsidRPr="00403F01">
              <w:rPr>
                <w:rFonts w:ascii="Palatino Linotype" w:hAnsi="Palatino Linotype" w:cs="Times New Roman"/>
                <w:sz w:val="20"/>
                <w:szCs w:val="20"/>
              </w:rPr>
              <w:t>Eric Jensen</w:t>
            </w:r>
          </w:p>
        </w:tc>
        <w:tc>
          <w:tcPr>
            <w:tcW w:w="5670" w:type="dxa"/>
          </w:tcPr>
          <w:p w14:paraId="4C3DE2A0" w14:textId="301CE7C8" w:rsidR="0043682E" w:rsidRPr="00403F01" w:rsidRDefault="00405F2B" w:rsidP="00510E59">
            <w:pPr>
              <w:jc w:val="both"/>
              <w:rPr>
                <w:rFonts w:ascii="Palatino Linotype" w:hAnsi="Palatino Linotype" w:cs="Times New Roman"/>
                <w:sz w:val="20"/>
                <w:szCs w:val="20"/>
              </w:rPr>
            </w:pPr>
            <w:r w:rsidRPr="00403F01">
              <w:rPr>
                <w:rFonts w:ascii="Palatino Linotype" w:hAnsi="Palatino Linotype" w:cs="Times New Roman"/>
                <w:sz w:val="20"/>
                <w:szCs w:val="20"/>
              </w:rPr>
              <w:t>Husbandry and veterinary medicine of bottlenose dolphins</w:t>
            </w:r>
          </w:p>
        </w:tc>
        <w:tc>
          <w:tcPr>
            <w:tcW w:w="1275" w:type="dxa"/>
          </w:tcPr>
          <w:p w14:paraId="005A24B0" w14:textId="01C686E4"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003AB501" w14:textId="1D3E1668" w:rsidTr="00FB4DC3">
        <w:tc>
          <w:tcPr>
            <w:tcW w:w="2122" w:type="dxa"/>
            <w:vAlign w:val="center"/>
          </w:tcPr>
          <w:p w14:paraId="17AE616A" w14:textId="6832B245" w:rsidR="0043682E" w:rsidRPr="00403F01" w:rsidRDefault="00405F2B" w:rsidP="00FB4DC3">
            <w:pPr>
              <w:rPr>
                <w:rFonts w:ascii="Palatino Linotype" w:hAnsi="Palatino Linotype" w:cs="Times New Roman"/>
                <w:sz w:val="20"/>
                <w:szCs w:val="20"/>
              </w:rPr>
            </w:pPr>
            <w:r w:rsidRPr="00403F01">
              <w:rPr>
                <w:rFonts w:ascii="Palatino Linotype" w:hAnsi="Palatino Linotype" w:cs="Times New Roman"/>
                <w:sz w:val="20"/>
                <w:szCs w:val="20"/>
              </w:rPr>
              <w:t>Keith Mullin</w:t>
            </w:r>
          </w:p>
        </w:tc>
        <w:tc>
          <w:tcPr>
            <w:tcW w:w="5670" w:type="dxa"/>
          </w:tcPr>
          <w:p w14:paraId="6BB7AB7C" w14:textId="2F4D2590" w:rsidR="0043682E" w:rsidRPr="00403F01" w:rsidRDefault="00405F2B" w:rsidP="00510E59">
            <w:pPr>
              <w:jc w:val="both"/>
              <w:rPr>
                <w:rFonts w:ascii="Palatino Linotype" w:hAnsi="Palatino Linotype" w:cs="Times New Roman"/>
                <w:sz w:val="20"/>
                <w:szCs w:val="20"/>
              </w:rPr>
            </w:pPr>
            <w:r w:rsidRPr="00403F01">
              <w:rPr>
                <w:rFonts w:ascii="Palatino Linotype" w:hAnsi="Palatino Linotype" w:cs="Times New Roman"/>
                <w:sz w:val="20"/>
                <w:szCs w:val="20"/>
              </w:rPr>
              <w:t>Distribution and ecology of cetaceans</w:t>
            </w:r>
          </w:p>
        </w:tc>
        <w:tc>
          <w:tcPr>
            <w:tcW w:w="1275" w:type="dxa"/>
          </w:tcPr>
          <w:p w14:paraId="71EE5C89" w14:textId="38318F01"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5E83D802" w14:textId="6060EA4E" w:rsidTr="00FB4DC3">
        <w:tc>
          <w:tcPr>
            <w:tcW w:w="2122" w:type="dxa"/>
            <w:vAlign w:val="center"/>
          </w:tcPr>
          <w:p w14:paraId="673E8BB4" w14:textId="527BDEE5" w:rsidR="0043682E" w:rsidRPr="00403F01" w:rsidRDefault="0043682E" w:rsidP="00FB4DC3">
            <w:pPr>
              <w:rPr>
                <w:rFonts w:ascii="Palatino Linotype" w:hAnsi="Palatino Linotype" w:cs="Times New Roman"/>
                <w:sz w:val="20"/>
                <w:szCs w:val="20"/>
              </w:rPr>
            </w:pPr>
            <w:r w:rsidRPr="00403F01">
              <w:rPr>
                <w:rFonts w:ascii="Palatino Linotype" w:hAnsi="Palatino Linotype" w:cs="Times New Roman"/>
                <w:sz w:val="20"/>
                <w:szCs w:val="20"/>
              </w:rPr>
              <w:t xml:space="preserve">Deborah </w:t>
            </w:r>
            <w:proofErr w:type="spellStart"/>
            <w:r w:rsidRPr="00403F01">
              <w:rPr>
                <w:rFonts w:ascii="Palatino Linotype" w:hAnsi="Palatino Linotype" w:cs="Times New Roman"/>
                <w:sz w:val="20"/>
                <w:szCs w:val="20"/>
              </w:rPr>
              <w:t>Fauquier</w:t>
            </w:r>
            <w:proofErr w:type="spellEnd"/>
          </w:p>
        </w:tc>
        <w:tc>
          <w:tcPr>
            <w:tcW w:w="5670" w:type="dxa"/>
          </w:tcPr>
          <w:p w14:paraId="54265B27" w14:textId="51F3C7E1" w:rsidR="0043682E" w:rsidRPr="00403F01" w:rsidRDefault="00405F2B" w:rsidP="00510E59">
            <w:pPr>
              <w:jc w:val="both"/>
              <w:rPr>
                <w:rFonts w:ascii="Palatino Linotype" w:hAnsi="Palatino Linotype" w:cs="Times New Roman"/>
                <w:sz w:val="20"/>
                <w:szCs w:val="20"/>
              </w:rPr>
            </w:pPr>
            <w:r w:rsidRPr="00403F01">
              <w:rPr>
                <w:rFonts w:ascii="Palatino Linotype" w:hAnsi="Palatino Linotype" w:cs="Times New Roman"/>
                <w:sz w:val="20"/>
                <w:szCs w:val="20"/>
              </w:rPr>
              <w:t>Veterinary medicine, impacts of disease and environmental change on marine organisms</w:t>
            </w:r>
          </w:p>
        </w:tc>
        <w:tc>
          <w:tcPr>
            <w:tcW w:w="1275" w:type="dxa"/>
          </w:tcPr>
          <w:p w14:paraId="010999F7" w14:textId="6047E7BA"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10AF0C9E" w14:textId="68645439" w:rsidTr="00FB4DC3">
        <w:tc>
          <w:tcPr>
            <w:tcW w:w="2122" w:type="dxa"/>
            <w:vAlign w:val="center"/>
          </w:tcPr>
          <w:p w14:paraId="0302B3B3" w14:textId="656E45E2" w:rsidR="0043682E" w:rsidRPr="00403F01" w:rsidRDefault="003811BC" w:rsidP="00FB4DC3">
            <w:pPr>
              <w:rPr>
                <w:rFonts w:ascii="Palatino Linotype" w:hAnsi="Palatino Linotype" w:cs="Times New Roman"/>
                <w:sz w:val="20"/>
                <w:szCs w:val="20"/>
              </w:rPr>
            </w:pPr>
            <w:r w:rsidRPr="00403F01">
              <w:rPr>
                <w:rFonts w:ascii="Palatino Linotype" w:hAnsi="Palatino Linotype" w:cs="Times New Roman"/>
                <w:sz w:val="20"/>
                <w:szCs w:val="20"/>
              </w:rPr>
              <w:t xml:space="preserve">Lorelei </w:t>
            </w:r>
            <w:proofErr w:type="spellStart"/>
            <w:r w:rsidRPr="00403F01">
              <w:rPr>
                <w:rFonts w:ascii="Palatino Linotype" w:hAnsi="Palatino Linotype" w:cs="Times New Roman"/>
                <w:sz w:val="20"/>
                <w:szCs w:val="20"/>
              </w:rPr>
              <w:t>Schwacke</w:t>
            </w:r>
            <w:proofErr w:type="spellEnd"/>
          </w:p>
        </w:tc>
        <w:tc>
          <w:tcPr>
            <w:tcW w:w="5670" w:type="dxa"/>
          </w:tcPr>
          <w:p w14:paraId="3EB3BEE4" w14:textId="7ABE6A3A"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Epidemiology and biostatistics</w:t>
            </w:r>
          </w:p>
        </w:tc>
        <w:tc>
          <w:tcPr>
            <w:tcW w:w="1275" w:type="dxa"/>
          </w:tcPr>
          <w:p w14:paraId="6BFFF116" w14:textId="4191A456"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0BBCB0E7" w14:textId="54D0D140" w:rsidTr="00FB4DC3">
        <w:tc>
          <w:tcPr>
            <w:tcW w:w="2122" w:type="dxa"/>
            <w:vAlign w:val="center"/>
          </w:tcPr>
          <w:p w14:paraId="2683D06F" w14:textId="751EF901" w:rsidR="0043682E" w:rsidRPr="00403F01" w:rsidRDefault="0043682E" w:rsidP="00FB4DC3">
            <w:pPr>
              <w:rPr>
                <w:rFonts w:ascii="Palatino Linotype" w:hAnsi="Palatino Linotype" w:cs="Times New Roman"/>
                <w:sz w:val="20"/>
                <w:szCs w:val="20"/>
              </w:rPr>
            </w:pPr>
            <w:r w:rsidRPr="00403F01">
              <w:rPr>
                <w:rFonts w:ascii="Palatino Linotype" w:hAnsi="Palatino Linotype" w:cs="Times New Roman"/>
                <w:sz w:val="20"/>
                <w:szCs w:val="20"/>
              </w:rPr>
              <w:t>Padraig Duignan</w:t>
            </w:r>
          </w:p>
        </w:tc>
        <w:tc>
          <w:tcPr>
            <w:tcW w:w="5670" w:type="dxa"/>
          </w:tcPr>
          <w:p w14:paraId="0E9F2E37" w14:textId="463FB0B8"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 xml:space="preserve">Veterinary pathology </w:t>
            </w:r>
          </w:p>
        </w:tc>
        <w:tc>
          <w:tcPr>
            <w:tcW w:w="1275" w:type="dxa"/>
          </w:tcPr>
          <w:p w14:paraId="69F8729E" w14:textId="3087C22B"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w:t>
            </w:r>
          </w:p>
        </w:tc>
      </w:tr>
      <w:tr w:rsidR="0043682E" w:rsidRPr="00403F01" w14:paraId="36C487AF" w14:textId="77777777" w:rsidTr="00FB4DC3">
        <w:tc>
          <w:tcPr>
            <w:tcW w:w="2122" w:type="dxa"/>
            <w:vAlign w:val="center"/>
          </w:tcPr>
          <w:p w14:paraId="3B5BF0F8" w14:textId="2F4E97B6" w:rsidR="0043682E" w:rsidRPr="00403F01" w:rsidRDefault="0043682E" w:rsidP="00FB4DC3">
            <w:pPr>
              <w:rPr>
                <w:rFonts w:ascii="Palatino Linotype" w:hAnsi="Palatino Linotype" w:cs="Times New Roman"/>
                <w:sz w:val="20"/>
                <w:szCs w:val="20"/>
              </w:rPr>
            </w:pPr>
            <w:r w:rsidRPr="00403F01">
              <w:rPr>
                <w:rFonts w:ascii="Palatino Linotype" w:hAnsi="Palatino Linotype" w:cs="Times New Roman"/>
                <w:sz w:val="20"/>
                <w:szCs w:val="20"/>
              </w:rPr>
              <w:t>Cormac Booth</w:t>
            </w:r>
          </w:p>
        </w:tc>
        <w:tc>
          <w:tcPr>
            <w:tcW w:w="5670" w:type="dxa"/>
          </w:tcPr>
          <w:p w14:paraId="513835E1" w14:textId="2A77764C"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 elicitation &amp; facilitation approaches</w:t>
            </w:r>
          </w:p>
        </w:tc>
        <w:tc>
          <w:tcPr>
            <w:tcW w:w="1275" w:type="dxa"/>
          </w:tcPr>
          <w:p w14:paraId="7477E621" w14:textId="71BCE02F"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Facilitator</w:t>
            </w:r>
          </w:p>
        </w:tc>
      </w:tr>
      <w:tr w:rsidR="0043682E" w:rsidRPr="00403F01" w14:paraId="13641CD0" w14:textId="7B520697" w:rsidTr="00FB4DC3">
        <w:tc>
          <w:tcPr>
            <w:tcW w:w="2122" w:type="dxa"/>
            <w:vAlign w:val="center"/>
          </w:tcPr>
          <w:p w14:paraId="0355DDB1" w14:textId="386C56E6" w:rsidR="0043682E" w:rsidRPr="00403F01" w:rsidRDefault="0043682E" w:rsidP="00FB4DC3">
            <w:pPr>
              <w:rPr>
                <w:rFonts w:ascii="Palatino Linotype" w:hAnsi="Palatino Linotype" w:cs="Times New Roman"/>
                <w:sz w:val="20"/>
                <w:szCs w:val="20"/>
              </w:rPr>
            </w:pPr>
            <w:r w:rsidRPr="00403F01">
              <w:rPr>
                <w:rFonts w:ascii="Palatino Linotype" w:hAnsi="Palatino Linotype" w:cs="Times New Roman"/>
                <w:sz w:val="20"/>
                <w:szCs w:val="20"/>
              </w:rPr>
              <w:t>Denise Grieg</w:t>
            </w:r>
          </w:p>
        </w:tc>
        <w:tc>
          <w:tcPr>
            <w:tcW w:w="5670" w:type="dxa"/>
          </w:tcPr>
          <w:p w14:paraId="30965C6A" w14:textId="6C85EA39"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Effects of pollutants and environmental factors on marine mammals</w:t>
            </w:r>
          </w:p>
        </w:tc>
        <w:tc>
          <w:tcPr>
            <w:tcW w:w="1275" w:type="dxa"/>
          </w:tcPr>
          <w:p w14:paraId="14D3BDFA" w14:textId="4648CBBD"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Recorder</w:t>
            </w:r>
          </w:p>
        </w:tc>
      </w:tr>
      <w:tr w:rsidR="0043682E" w:rsidRPr="00403F01" w14:paraId="54339688" w14:textId="1A2BE1AF" w:rsidTr="00FB4DC3">
        <w:tc>
          <w:tcPr>
            <w:tcW w:w="2122" w:type="dxa"/>
            <w:vAlign w:val="center"/>
          </w:tcPr>
          <w:p w14:paraId="02B203ED" w14:textId="0A92AFBB" w:rsidR="0043682E" w:rsidRPr="00403F01" w:rsidRDefault="0043682E" w:rsidP="00FB4DC3">
            <w:pPr>
              <w:rPr>
                <w:rFonts w:ascii="Palatino Linotype" w:hAnsi="Palatino Linotype" w:cs="Times New Roman"/>
                <w:b/>
                <w:bCs/>
                <w:sz w:val="20"/>
                <w:szCs w:val="20"/>
              </w:rPr>
            </w:pPr>
            <w:r w:rsidRPr="00403F01">
              <w:rPr>
                <w:rFonts w:ascii="Palatino Linotype" w:hAnsi="Palatino Linotype" w:cs="Times New Roman"/>
                <w:sz w:val="20"/>
                <w:szCs w:val="20"/>
                <w:lang w:val="en-US"/>
              </w:rPr>
              <w:t>Teri Rowles</w:t>
            </w:r>
          </w:p>
        </w:tc>
        <w:tc>
          <w:tcPr>
            <w:tcW w:w="5670" w:type="dxa"/>
          </w:tcPr>
          <w:p w14:paraId="681A4E1D" w14:textId="02F5E344"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Marine Mammal Health and Stranding Program Coordinator – NMFS</w:t>
            </w:r>
          </w:p>
        </w:tc>
        <w:tc>
          <w:tcPr>
            <w:tcW w:w="1275" w:type="dxa"/>
          </w:tcPr>
          <w:p w14:paraId="207DC374" w14:textId="3C51B4D3"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51FBE951" w14:textId="13BFFA8E" w:rsidTr="00FB4DC3">
        <w:tc>
          <w:tcPr>
            <w:tcW w:w="2122" w:type="dxa"/>
            <w:vAlign w:val="center"/>
          </w:tcPr>
          <w:p w14:paraId="5A22B619" w14:textId="6ADF10C1" w:rsidR="0043682E" w:rsidRPr="00403F01" w:rsidRDefault="0043682E" w:rsidP="00FB4DC3">
            <w:pPr>
              <w:rPr>
                <w:rFonts w:ascii="Palatino Linotype" w:hAnsi="Palatino Linotype" w:cs="Times New Roman"/>
                <w:b/>
                <w:bCs/>
                <w:sz w:val="20"/>
                <w:szCs w:val="20"/>
              </w:rPr>
            </w:pPr>
            <w:r w:rsidRPr="00403F01">
              <w:rPr>
                <w:rFonts w:ascii="Palatino Linotype" w:hAnsi="Palatino Linotype" w:cs="Times New Roman"/>
                <w:sz w:val="20"/>
                <w:szCs w:val="20"/>
                <w:lang w:val="en-US"/>
              </w:rPr>
              <w:t xml:space="preserve">Erin </w:t>
            </w:r>
            <w:proofErr w:type="spellStart"/>
            <w:r w:rsidRPr="00403F01">
              <w:rPr>
                <w:rFonts w:ascii="Palatino Linotype" w:hAnsi="Palatino Linotype" w:cs="Times New Roman"/>
                <w:sz w:val="20"/>
                <w:szCs w:val="20"/>
                <w:lang w:val="en-US"/>
              </w:rPr>
              <w:t>Fougères</w:t>
            </w:r>
            <w:proofErr w:type="spellEnd"/>
          </w:p>
        </w:tc>
        <w:tc>
          <w:tcPr>
            <w:tcW w:w="5670" w:type="dxa"/>
          </w:tcPr>
          <w:p w14:paraId="174F22EF" w14:textId="2C53234C"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Stranding Program Administrator – NMFS</w:t>
            </w:r>
          </w:p>
        </w:tc>
        <w:tc>
          <w:tcPr>
            <w:tcW w:w="1275" w:type="dxa"/>
          </w:tcPr>
          <w:p w14:paraId="46FBE304" w14:textId="4E700EDF"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4D46BDDF" w14:textId="4840EA97" w:rsidTr="00FB4DC3">
        <w:tc>
          <w:tcPr>
            <w:tcW w:w="2122" w:type="dxa"/>
            <w:vAlign w:val="center"/>
          </w:tcPr>
          <w:p w14:paraId="48329A23" w14:textId="722404F5" w:rsidR="0043682E" w:rsidRPr="00403F01" w:rsidRDefault="0043682E" w:rsidP="00FB4DC3">
            <w:pPr>
              <w:rPr>
                <w:rFonts w:ascii="Palatino Linotype" w:hAnsi="Palatino Linotype" w:cs="Times New Roman"/>
                <w:b/>
                <w:bCs/>
                <w:sz w:val="20"/>
                <w:szCs w:val="20"/>
              </w:rPr>
            </w:pPr>
            <w:r w:rsidRPr="00403F01">
              <w:rPr>
                <w:rFonts w:ascii="Palatino Linotype" w:hAnsi="Palatino Linotype" w:cs="Times New Roman"/>
                <w:sz w:val="20"/>
                <w:szCs w:val="20"/>
                <w:lang w:val="en-US"/>
              </w:rPr>
              <w:t>Lance Garrison</w:t>
            </w:r>
          </w:p>
        </w:tc>
        <w:tc>
          <w:tcPr>
            <w:tcW w:w="5670" w:type="dxa"/>
          </w:tcPr>
          <w:p w14:paraId="0F47B711" w14:textId="3BB3FACB"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Marine mammal ecology and conservation</w:t>
            </w:r>
          </w:p>
        </w:tc>
        <w:tc>
          <w:tcPr>
            <w:tcW w:w="1275" w:type="dxa"/>
          </w:tcPr>
          <w:p w14:paraId="7D749066" w14:textId="3BF74E57"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19900EE8" w14:textId="7BD48852" w:rsidTr="00FB4DC3">
        <w:tc>
          <w:tcPr>
            <w:tcW w:w="2122" w:type="dxa"/>
            <w:vAlign w:val="center"/>
          </w:tcPr>
          <w:p w14:paraId="2DEF04C8" w14:textId="48AB63E4" w:rsidR="0043682E" w:rsidRPr="00403F01" w:rsidRDefault="0043682E" w:rsidP="00FB4DC3">
            <w:pPr>
              <w:rPr>
                <w:rFonts w:ascii="Palatino Linotype" w:hAnsi="Palatino Linotype" w:cs="Times New Roman"/>
                <w:b/>
                <w:bCs/>
                <w:sz w:val="20"/>
                <w:szCs w:val="20"/>
              </w:rPr>
            </w:pPr>
            <w:r w:rsidRPr="00403F01">
              <w:rPr>
                <w:rFonts w:ascii="Palatino Linotype" w:hAnsi="Palatino Linotype" w:cs="Times New Roman"/>
                <w:sz w:val="20"/>
                <w:szCs w:val="20"/>
                <w:lang w:val="en-US"/>
              </w:rPr>
              <w:t>Ryan Takeshita</w:t>
            </w:r>
          </w:p>
        </w:tc>
        <w:tc>
          <w:tcPr>
            <w:tcW w:w="5670" w:type="dxa"/>
          </w:tcPr>
          <w:p w14:paraId="53D7D194" w14:textId="09EC6FCE" w:rsidR="0043682E" w:rsidRPr="00403F01" w:rsidRDefault="00A56066" w:rsidP="00510E59">
            <w:pPr>
              <w:jc w:val="both"/>
              <w:rPr>
                <w:rFonts w:ascii="Palatino Linotype" w:hAnsi="Palatino Linotype" w:cs="Times New Roman"/>
                <w:sz w:val="20"/>
                <w:szCs w:val="20"/>
              </w:rPr>
            </w:pPr>
            <w:r w:rsidRPr="00403F01">
              <w:rPr>
                <w:rFonts w:ascii="Palatino Linotype" w:hAnsi="Palatino Linotype" w:cs="Times New Roman"/>
                <w:sz w:val="20"/>
                <w:szCs w:val="20"/>
              </w:rPr>
              <w:t>Bottlenose dolphin telemetry and salinity regime</w:t>
            </w:r>
          </w:p>
        </w:tc>
        <w:tc>
          <w:tcPr>
            <w:tcW w:w="1275" w:type="dxa"/>
          </w:tcPr>
          <w:p w14:paraId="237EA7F4" w14:textId="19852478"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69ACA8C2" w14:textId="4CFE0059" w:rsidTr="00FB4DC3">
        <w:tc>
          <w:tcPr>
            <w:tcW w:w="2122" w:type="dxa"/>
            <w:vAlign w:val="center"/>
          </w:tcPr>
          <w:p w14:paraId="4698A296" w14:textId="024B05CF" w:rsidR="0043682E" w:rsidRPr="00403F01" w:rsidRDefault="0043682E" w:rsidP="00FB4DC3">
            <w:pPr>
              <w:rPr>
                <w:rFonts w:ascii="Palatino Linotype" w:hAnsi="Palatino Linotype" w:cs="Times New Roman"/>
                <w:b/>
                <w:bCs/>
                <w:sz w:val="20"/>
                <w:szCs w:val="20"/>
              </w:rPr>
            </w:pPr>
            <w:r w:rsidRPr="00403F01">
              <w:rPr>
                <w:rFonts w:ascii="Palatino Linotype" w:hAnsi="Palatino Linotype" w:cs="Times New Roman"/>
                <w:sz w:val="20"/>
                <w:szCs w:val="20"/>
                <w:lang w:val="en-US"/>
              </w:rPr>
              <w:t>Abby McClain</w:t>
            </w:r>
          </w:p>
        </w:tc>
        <w:tc>
          <w:tcPr>
            <w:tcW w:w="5670" w:type="dxa"/>
          </w:tcPr>
          <w:p w14:paraId="327911CD" w14:textId="7E25E1CF"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Veter</w:t>
            </w:r>
            <w:r w:rsidR="00A56066" w:rsidRPr="00403F01">
              <w:rPr>
                <w:rFonts w:ascii="Palatino Linotype" w:hAnsi="Palatino Linotype" w:cs="Times New Roman"/>
                <w:sz w:val="20"/>
                <w:szCs w:val="20"/>
              </w:rPr>
              <w:t>i</w:t>
            </w:r>
            <w:r w:rsidRPr="00403F01">
              <w:rPr>
                <w:rFonts w:ascii="Palatino Linotype" w:hAnsi="Palatino Linotype" w:cs="Times New Roman"/>
                <w:sz w:val="20"/>
                <w:szCs w:val="20"/>
              </w:rPr>
              <w:t>nary science</w:t>
            </w:r>
            <w:r w:rsidR="00A56066" w:rsidRPr="00403F01">
              <w:rPr>
                <w:rFonts w:ascii="Palatino Linotype" w:hAnsi="Palatino Linotype" w:cs="Times New Roman"/>
                <w:sz w:val="20"/>
                <w:szCs w:val="20"/>
              </w:rPr>
              <w:t xml:space="preserve"> and husbandry of bottlenose dolphins</w:t>
            </w:r>
          </w:p>
        </w:tc>
        <w:tc>
          <w:tcPr>
            <w:tcW w:w="1275" w:type="dxa"/>
          </w:tcPr>
          <w:p w14:paraId="476045D3" w14:textId="23D4C04D"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2E387505" w14:textId="53639448" w:rsidTr="00FB4DC3">
        <w:tc>
          <w:tcPr>
            <w:tcW w:w="2122" w:type="dxa"/>
            <w:vAlign w:val="center"/>
          </w:tcPr>
          <w:p w14:paraId="1FD2F8AA" w14:textId="1380A0F4" w:rsidR="0043682E" w:rsidRPr="00403F01" w:rsidRDefault="0043682E" w:rsidP="00FB4DC3">
            <w:pPr>
              <w:rPr>
                <w:rFonts w:ascii="Palatino Linotype" w:hAnsi="Palatino Linotype" w:cs="Times New Roman"/>
                <w:b/>
                <w:bCs/>
                <w:sz w:val="20"/>
                <w:szCs w:val="20"/>
              </w:rPr>
            </w:pPr>
            <w:r w:rsidRPr="00403F01">
              <w:rPr>
                <w:rFonts w:ascii="Palatino Linotype" w:hAnsi="Palatino Linotype" w:cs="Times New Roman"/>
                <w:sz w:val="20"/>
                <w:szCs w:val="20"/>
                <w:lang w:val="en-US"/>
              </w:rPr>
              <w:t>Cynthia Smith</w:t>
            </w:r>
          </w:p>
        </w:tc>
        <w:tc>
          <w:tcPr>
            <w:tcW w:w="5670" w:type="dxa"/>
          </w:tcPr>
          <w:p w14:paraId="6A392B21" w14:textId="76ACA161" w:rsidR="0043682E" w:rsidRPr="00403F01" w:rsidRDefault="00A56066" w:rsidP="00510E59">
            <w:pPr>
              <w:jc w:val="both"/>
              <w:rPr>
                <w:rFonts w:ascii="Palatino Linotype" w:hAnsi="Palatino Linotype" w:cs="Times New Roman"/>
                <w:sz w:val="20"/>
                <w:szCs w:val="20"/>
              </w:rPr>
            </w:pPr>
            <w:r w:rsidRPr="00403F01">
              <w:rPr>
                <w:rFonts w:ascii="Palatino Linotype" w:hAnsi="Palatino Linotype" w:cs="Times New Roman"/>
                <w:sz w:val="20"/>
                <w:szCs w:val="20"/>
              </w:rPr>
              <w:t>Veterinary science and adverse health effects in wild cetaceans</w:t>
            </w:r>
          </w:p>
        </w:tc>
        <w:tc>
          <w:tcPr>
            <w:tcW w:w="1275" w:type="dxa"/>
          </w:tcPr>
          <w:p w14:paraId="2E3C65D3" w14:textId="33E1FFFF"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7FC742D4" w14:textId="77777777" w:rsidTr="00FB4DC3">
        <w:tc>
          <w:tcPr>
            <w:tcW w:w="2122" w:type="dxa"/>
            <w:vAlign w:val="center"/>
          </w:tcPr>
          <w:p w14:paraId="68F9E818" w14:textId="5CAA7CBF" w:rsidR="0043682E" w:rsidRPr="00403F01" w:rsidRDefault="0043682E" w:rsidP="00FB4DC3">
            <w:pPr>
              <w:rPr>
                <w:rFonts w:ascii="Palatino Linotype" w:hAnsi="Palatino Linotype" w:cs="Times New Roman"/>
                <w:sz w:val="20"/>
                <w:szCs w:val="20"/>
                <w:lang w:val="en-US"/>
              </w:rPr>
            </w:pPr>
            <w:r w:rsidRPr="00403F01">
              <w:rPr>
                <w:rFonts w:ascii="Palatino Linotype" w:hAnsi="Palatino Linotype" w:cs="Times New Roman"/>
                <w:sz w:val="20"/>
                <w:szCs w:val="20"/>
                <w:lang w:val="en-US"/>
              </w:rPr>
              <w:t>Jaclyn Daly</w:t>
            </w:r>
            <w:r w:rsidR="003811BC" w:rsidRPr="00403F01">
              <w:rPr>
                <w:rFonts w:ascii="Palatino Linotype" w:hAnsi="Palatino Linotype" w:cs="Times New Roman"/>
                <w:sz w:val="20"/>
                <w:szCs w:val="20"/>
                <w:lang w:val="en-US"/>
              </w:rPr>
              <w:t>-Fuchs</w:t>
            </w:r>
          </w:p>
        </w:tc>
        <w:tc>
          <w:tcPr>
            <w:tcW w:w="5670" w:type="dxa"/>
          </w:tcPr>
          <w:p w14:paraId="5649C92B" w14:textId="586ECAD3" w:rsidR="0043682E" w:rsidRPr="00403F01" w:rsidRDefault="003811B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Estuarine and marine resource management</w:t>
            </w:r>
          </w:p>
        </w:tc>
        <w:tc>
          <w:tcPr>
            <w:tcW w:w="1275" w:type="dxa"/>
          </w:tcPr>
          <w:p w14:paraId="67B75867" w14:textId="4DDA705F"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r w:rsidR="0043682E" w:rsidRPr="00403F01" w14:paraId="544BBB1F" w14:textId="77777777" w:rsidTr="00FB4DC3">
        <w:tc>
          <w:tcPr>
            <w:tcW w:w="2122" w:type="dxa"/>
            <w:vAlign w:val="center"/>
          </w:tcPr>
          <w:p w14:paraId="2A41204D" w14:textId="12E0FF2F" w:rsidR="0043682E" w:rsidRPr="00403F01" w:rsidRDefault="0043682E" w:rsidP="00FB4DC3">
            <w:pPr>
              <w:rPr>
                <w:rFonts w:ascii="Palatino Linotype" w:hAnsi="Palatino Linotype" w:cs="Times New Roman"/>
                <w:sz w:val="20"/>
                <w:szCs w:val="20"/>
                <w:lang w:val="en-US"/>
              </w:rPr>
            </w:pPr>
            <w:r w:rsidRPr="00403F01">
              <w:rPr>
                <w:rFonts w:ascii="Palatino Linotype" w:hAnsi="Palatino Linotype" w:cs="Times New Roman"/>
                <w:sz w:val="20"/>
                <w:szCs w:val="20"/>
                <w:lang w:val="en-US"/>
              </w:rPr>
              <w:t>Le</w:t>
            </w:r>
            <w:r w:rsidR="003811BC" w:rsidRPr="00403F01">
              <w:rPr>
                <w:rFonts w:ascii="Palatino Linotype" w:hAnsi="Palatino Linotype" w:cs="Times New Roman"/>
                <w:sz w:val="20"/>
                <w:szCs w:val="20"/>
                <w:lang w:val="en-US"/>
              </w:rPr>
              <w:t>o</w:t>
            </w:r>
            <w:r w:rsidRPr="00403F01">
              <w:rPr>
                <w:rFonts w:ascii="Palatino Linotype" w:hAnsi="Palatino Linotype" w:cs="Times New Roman"/>
                <w:sz w:val="20"/>
                <w:szCs w:val="20"/>
                <w:lang w:val="en-US"/>
              </w:rPr>
              <w:t>n</w:t>
            </w:r>
            <w:r w:rsidR="003811BC" w:rsidRPr="00403F01">
              <w:rPr>
                <w:rFonts w:ascii="Palatino Linotype" w:hAnsi="Palatino Linotype" w:cs="Times New Roman"/>
                <w:sz w:val="20"/>
                <w:szCs w:val="20"/>
                <w:lang w:val="en-US"/>
              </w:rPr>
              <w:t>ard</w:t>
            </w:r>
            <w:r w:rsidRPr="00403F01">
              <w:rPr>
                <w:rFonts w:ascii="Palatino Linotype" w:hAnsi="Palatino Linotype" w:cs="Times New Roman"/>
                <w:sz w:val="20"/>
                <w:szCs w:val="20"/>
                <w:lang w:val="en-US"/>
              </w:rPr>
              <w:t xml:space="preserve"> Thomas</w:t>
            </w:r>
          </w:p>
        </w:tc>
        <w:tc>
          <w:tcPr>
            <w:tcW w:w="5670" w:type="dxa"/>
          </w:tcPr>
          <w:p w14:paraId="2EDBC985" w14:textId="1740B00D" w:rsidR="0043682E" w:rsidRPr="00403F01" w:rsidRDefault="00184F6C" w:rsidP="00510E59">
            <w:pPr>
              <w:jc w:val="both"/>
              <w:rPr>
                <w:rFonts w:ascii="Palatino Linotype" w:hAnsi="Palatino Linotype" w:cs="Times New Roman"/>
                <w:sz w:val="20"/>
                <w:szCs w:val="20"/>
              </w:rPr>
            </w:pPr>
            <w:r w:rsidRPr="00403F01">
              <w:rPr>
                <w:rFonts w:ascii="Palatino Linotype" w:hAnsi="Palatino Linotype" w:cs="Times New Roman"/>
                <w:sz w:val="20"/>
                <w:szCs w:val="20"/>
              </w:rPr>
              <w:t>Expert elicitation and statistics</w:t>
            </w:r>
          </w:p>
        </w:tc>
        <w:tc>
          <w:tcPr>
            <w:tcW w:w="1275" w:type="dxa"/>
          </w:tcPr>
          <w:p w14:paraId="40CEB03C" w14:textId="16C65F49" w:rsidR="0043682E" w:rsidRPr="00403F01" w:rsidRDefault="0043682E" w:rsidP="00510E59">
            <w:pPr>
              <w:jc w:val="both"/>
              <w:rPr>
                <w:rFonts w:ascii="Palatino Linotype" w:hAnsi="Palatino Linotype" w:cs="Times New Roman"/>
                <w:sz w:val="20"/>
                <w:szCs w:val="20"/>
              </w:rPr>
            </w:pPr>
            <w:r w:rsidRPr="00403F01">
              <w:rPr>
                <w:rFonts w:ascii="Palatino Linotype" w:hAnsi="Palatino Linotype" w:cs="Times New Roman"/>
                <w:sz w:val="20"/>
                <w:szCs w:val="20"/>
              </w:rPr>
              <w:t>Observer</w:t>
            </w:r>
          </w:p>
        </w:tc>
      </w:tr>
    </w:tbl>
    <w:p w14:paraId="0CD111F5" w14:textId="778AF256" w:rsidR="0043682E" w:rsidRPr="0043682E" w:rsidRDefault="0043682E" w:rsidP="00510E59">
      <w:pPr>
        <w:jc w:val="both"/>
        <w:rPr>
          <w:rFonts w:ascii="Times New Roman" w:hAnsi="Times New Roman" w:cs="Times New Roman"/>
          <w:b/>
          <w:bCs/>
          <w:sz w:val="24"/>
          <w:szCs w:val="24"/>
        </w:rPr>
      </w:pPr>
    </w:p>
    <w:p w14:paraId="1AE38E10" w14:textId="15069424" w:rsidR="00405F2B" w:rsidRPr="00403F01" w:rsidRDefault="00405F2B" w:rsidP="00403F01">
      <w:pPr>
        <w:adjustRightInd w:val="0"/>
        <w:snapToGrid w:val="0"/>
        <w:spacing w:before="120" w:after="0" w:line="260" w:lineRule="atLeast"/>
        <w:rPr>
          <w:rFonts w:ascii="Palatino Linotype" w:hAnsi="Palatino Linotype" w:cs="Times New Roman"/>
          <w:b/>
          <w:bCs/>
          <w:i/>
          <w:iCs/>
          <w:sz w:val="20"/>
          <w:szCs w:val="24"/>
        </w:rPr>
      </w:pPr>
      <w:r w:rsidRPr="00403F01">
        <w:rPr>
          <w:rFonts w:ascii="Palatino Linotype" w:hAnsi="Palatino Linotype" w:cs="Times New Roman"/>
          <w:b/>
          <w:bCs/>
          <w:i/>
          <w:iCs/>
          <w:sz w:val="20"/>
          <w:szCs w:val="24"/>
        </w:rPr>
        <w:t>Experts</w:t>
      </w:r>
      <w:r w:rsidR="00402CD2" w:rsidRPr="00403F01">
        <w:rPr>
          <w:rFonts w:ascii="Palatino Linotype" w:hAnsi="Palatino Linotype" w:cs="Times New Roman"/>
          <w:b/>
          <w:bCs/>
          <w:i/>
          <w:iCs/>
          <w:sz w:val="20"/>
          <w:szCs w:val="24"/>
        </w:rPr>
        <w:t>’</w:t>
      </w:r>
      <w:r w:rsidRPr="00403F01">
        <w:rPr>
          <w:rFonts w:ascii="Palatino Linotype" w:hAnsi="Palatino Linotype" w:cs="Times New Roman"/>
          <w:b/>
          <w:bCs/>
          <w:i/>
          <w:iCs/>
          <w:sz w:val="20"/>
          <w:szCs w:val="24"/>
        </w:rPr>
        <w:t xml:space="preserve"> </w:t>
      </w:r>
      <w:r w:rsidR="00402CD2" w:rsidRPr="00403F01">
        <w:rPr>
          <w:rFonts w:ascii="Palatino Linotype" w:hAnsi="Palatino Linotype" w:cs="Times New Roman"/>
          <w:b/>
          <w:bCs/>
          <w:i/>
          <w:iCs/>
          <w:sz w:val="20"/>
          <w:szCs w:val="24"/>
        </w:rPr>
        <w:t>‘E</w:t>
      </w:r>
      <w:r w:rsidRPr="00403F01">
        <w:rPr>
          <w:rFonts w:ascii="Palatino Linotype" w:hAnsi="Palatino Linotype" w:cs="Times New Roman"/>
          <w:b/>
          <w:bCs/>
          <w:i/>
          <w:iCs/>
          <w:sz w:val="20"/>
          <w:szCs w:val="24"/>
        </w:rPr>
        <w:t>xpertise</w:t>
      </w:r>
      <w:r w:rsidR="00402CD2" w:rsidRPr="00403F01">
        <w:rPr>
          <w:rFonts w:ascii="Palatino Linotype" w:hAnsi="Palatino Linotype" w:cs="Times New Roman"/>
          <w:b/>
          <w:bCs/>
          <w:i/>
          <w:iCs/>
          <w:sz w:val="20"/>
          <w:szCs w:val="24"/>
        </w:rPr>
        <w:t xml:space="preserve"> and Interests’ </w:t>
      </w:r>
      <w:r w:rsidR="00403F01">
        <w:rPr>
          <w:rFonts w:ascii="Palatino Linotype" w:hAnsi="Palatino Linotype" w:cs="Times New Roman"/>
          <w:b/>
          <w:bCs/>
          <w:i/>
          <w:iCs/>
          <w:sz w:val="20"/>
          <w:szCs w:val="24"/>
        </w:rPr>
        <w:t>S</w:t>
      </w:r>
      <w:r w:rsidR="00402CD2" w:rsidRPr="00403F01">
        <w:rPr>
          <w:rFonts w:ascii="Palatino Linotype" w:hAnsi="Palatino Linotype" w:cs="Times New Roman"/>
          <w:b/>
          <w:bCs/>
          <w:i/>
          <w:iCs/>
          <w:sz w:val="20"/>
          <w:szCs w:val="24"/>
        </w:rPr>
        <w:t>tatements</w:t>
      </w:r>
    </w:p>
    <w:p w14:paraId="26CDC791" w14:textId="1603DB1E" w:rsidR="00405F2B" w:rsidRPr="00403F01" w:rsidRDefault="00405F2B" w:rsidP="00403F01">
      <w:pPr>
        <w:adjustRightInd w:val="0"/>
        <w:snapToGrid w:val="0"/>
        <w:spacing w:before="120" w:after="0" w:line="260" w:lineRule="atLeast"/>
        <w:jc w:val="both"/>
        <w:rPr>
          <w:rFonts w:ascii="Palatino Linotype" w:hAnsi="Palatino Linotype" w:cs="Times New Roman"/>
          <w:sz w:val="20"/>
          <w:szCs w:val="24"/>
          <w:lang/>
        </w:rPr>
      </w:pPr>
      <w:r w:rsidRPr="00403F01">
        <w:rPr>
          <w:rFonts w:ascii="Palatino Linotype" w:hAnsi="Palatino Linotype" w:cs="Times New Roman"/>
          <w:b/>
          <w:bCs/>
          <w:sz w:val="20"/>
          <w:szCs w:val="24"/>
        </w:rPr>
        <w:t xml:space="preserve">Deborah Ann </w:t>
      </w:r>
      <w:proofErr w:type="spellStart"/>
      <w:r w:rsidRPr="00403F01">
        <w:rPr>
          <w:rFonts w:ascii="Palatino Linotype" w:hAnsi="Palatino Linotype" w:cs="Times New Roman"/>
          <w:b/>
          <w:bCs/>
          <w:sz w:val="20"/>
          <w:szCs w:val="24"/>
        </w:rPr>
        <w:t>Fauquier</w:t>
      </w:r>
      <w:proofErr w:type="spellEnd"/>
      <w:r w:rsidRPr="00403F01">
        <w:rPr>
          <w:rFonts w:ascii="Palatino Linotype" w:hAnsi="Palatino Linotype" w:cs="Times New Roman"/>
          <w:sz w:val="20"/>
          <w:szCs w:val="24"/>
        </w:rPr>
        <w:t>, DVM, MPVM, PhD is a</w:t>
      </w:r>
      <w:r w:rsidR="00403F01">
        <w:rPr>
          <w:rFonts w:ascii="Palatino Linotype" w:hAnsi="Palatino Linotype" w:cs="Times New Roman"/>
          <w:sz w:val="20"/>
          <w:szCs w:val="24"/>
        </w:rPr>
        <w:t xml:space="preserve"> </w:t>
      </w:r>
      <w:r w:rsidRPr="00403F01">
        <w:rPr>
          <w:rFonts w:ascii="Palatino Linotype" w:hAnsi="Palatino Linotype" w:cs="Times New Roman"/>
          <w:sz w:val="20"/>
          <w:szCs w:val="24"/>
        </w:rPr>
        <w:t>Veterinary Medical Officer in the Office of Protected Resources at the National Marine Fisher</w:t>
      </w:r>
      <w:r w:rsidR="00403F01">
        <w:rPr>
          <w:rFonts w:ascii="Palatino Linotype" w:hAnsi="Palatino Linotype" w:cs="Times New Roman"/>
          <w:sz w:val="20"/>
          <w:szCs w:val="24"/>
        </w:rPr>
        <w:t>ies Service in Washington, D.C.</w:t>
      </w:r>
      <w:r w:rsidRPr="00403F01">
        <w:rPr>
          <w:rFonts w:ascii="Palatino Linotype" w:hAnsi="Palatino Linotype" w:cs="Times New Roman"/>
          <w:sz w:val="20"/>
          <w:szCs w:val="24"/>
        </w:rPr>
        <w:t xml:space="preserve"> She previously worked as an</w:t>
      </w:r>
      <w:r w:rsidR="00403F01">
        <w:rPr>
          <w:rFonts w:ascii="Palatino Linotype" w:hAnsi="Palatino Linotype" w:cs="Times New Roman"/>
          <w:sz w:val="20"/>
          <w:szCs w:val="24"/>
        </w:rPr>
        <w:t xml:space="preserve"> </w:t>
      </w:r>
      <w:r w:rsidRPr="00403F01">
        <w:rPr>
          <w:rFonts w:ascii="Palatino Linotype" w:hAnsi="Palatino Linotype" w:cs="Times New Roman"/>
          <w:sz w:val="20"/>
          <w:szCs w:val="24"/>
        </w:rPr>
        <w:t xml:space="preserve">Associate Veterinarian at The Marine Mammal </w:t>
      </w:r>
      <w:proofErr w:type="spellStart"/>
      <w:r w:rsidRPr="00403F01">
        <w:rPr>
          <w:rFonts w:ascii="Palatino Linotype" w:hAnsi="Palatino Linotype" w:cs="Times New Roman"/>
          <w:sz w:val="20"/>
          <w:szCs w:val="24"/>
        </w:rPr>
        <w:t>Center</w:t>
      </w:r>
      <w:proofErr w:type="spellEnd"/>
      <w:r w:rsidRPr="00403F01">
        <w:rPr>
          <w:rFonts w:ascii="Palatino Linotype" w:hAnsi="Palatino Linotype" w:cs="Times New Roman"/>
          <w:sz w:val="20"/>
          <w:szCs w:val="24"/>
        </w:rPr>
        <w:t xml:space="preserve"> in Sausalito, California, and an Adjunct Scientist at Mote Marine Laboratory in Sarasota, Florida. She has over 20 years’ experience working with live and stranded marine animals, she received her Veterinary and Master’s degrees from the University of California-Davis and her PhD degree in Biological Oceanography from the University of California-Santa Cruz.</w:t>
      </w:r>
      <w:r w:rsidR="00403F01">
        <w:rPr>
          <w:rFonts w:ascii="Palatino Linotype" w:hAnsi="Palatino Linotype" w:cs="Times New Roman"/>
          <w:sz w:val="20"/>
          <w:szCs w:val="24"/>
        </w:rPr>
        <w:t xml:space="preserve"> </w:t>
      </w:r>
      <w:r w:rsidRPr="00403F01">
        <w:rPr>
          <w:rFonts w:ascii="Palatino Linotype" w:hAnsi="Palatino Linotype" w:cs="Times New Roman"/>
          <w:sz w:val="20"/>
          <w:szCs w:val="24"/>
        </w:rPr>
        <w:t>Her research interests include investigating the impacts of disease and environmental changes on marine organisms. Vested interests</w:t>
      </w:r>
      <w:r w:rsidR="00403F01">
        <w:rPr>
          <w:rFonts w:ascii="Palatino Linotype" w:hAnsi="Palatino Linotype" w:cs="Times New Roman"/>
          <w:sz w:val="20"/>
          <w:szCs w:val="24"/>
        </w:rPr>
        <w:t>—</w:t>
      </w:r>
      <w:r w:rsidRPr="00403F01">
        <w:rPr>
          <w:rFonts w:ascii="Palatino Linotype" w:hAnsi="Palatino Linotype" w:cs="Times New Roman"/>
          <w:sz w:val="20"/>
          <w:szCs w:val="24"/>
        </w:rPr>
        <w:t>Understanding disease, environmental changes, and other health issues that are impacting NMFS Protected Resources, specifically marine mammals within the U.S.</w:t>
      </w:r>
    </w:p>
    <w:p w14:paraId="3F6DD1A7" w14:textId="69E943CC" w:rsidR="00405F2B" w:rsidRPr="00403F01" w:rsidRDefault="00405F2B" w:rsidP="00403F01">
      <w:pPr>
        <w:adjustRightInd w:val="0"/>
        <w:snapToGrid w:val="0"/>
        <w:spacing w:before="120" w:after="0" w:line="260" w:lineRule="atLeast"/>
        <w:jc w:val="both"/>
        <w:rPr>
          <w:rFonts w:ascii="Palatino Linotype" w:hAnsi="Palatino Linotype" w:cs="Times New Roman"/>
          <w:b/>
          <w:bCs/>
          <w:sz w:val="20"/>
          <w:szCs w:val="24"/>
          <w:lang/>
        </w:rPr>
      </w:pPr>
      <w:r w:rsidRPr="00403F01">
        <w:rPr>
          <w:rFonts w:ascii="Palatino Linotype" w:hAnsi="Palatino Linotype" w:cs="Times New Roman"/>
          <w:b/>
          <w:bCs/>
          <w:sz w:val="20"/>
          <w:szCs w:val="24"/>
        </w:rPr>
        <w:t>Eric Jensen</w:t>
      </w:r>
      <w:r w:rsidRPr="00403F01">
        <w:rPr>
          <w:rFonts w:ascii="Palatino Linotype" w:hAnsi="Palatino Linotype" w:cs="Times New Roman"/>
          <w:sz w:val="20"/>
          <w:szCs w:val="24"/>
        </w:rPr>
        <w:t xml:space="preserve">, </w:t>
      </w:r>
      <w:r w:rsidRPr="00403F01">
        <w:rPr>
          <w:rFonts w:ascii="Palatino Linotype" w:hAnsi="Palatino Linotype" w:cs="Times New Roman"/>
          <w:sz w:val="20"/>
          <w:szCs w:val="24"/>
          <w:lang/>
        </w:rPr>
        <w:t>DVM</w:t>
      </w:r>
      <w:r w:rsidRPr="00403F01">
        <w:rPr>
          <w:rFonts w:ascii="Palatino Linotype" w:hAnsi="Palatino Linotype" w:cs="Times New Roman"/>
          <w:sz w:val="20"/>
          <w:szCs w:val="24"/>
        </w:rPr>
        <w:t xml:space="preserve"> c</w:t>
      </w:r>
      <w:r w:rsidRPr="00403F01">
        <w:rPr>
          <w:rFonts w:ascii="Palatino Linotype" w:hAnsi="Palatino Linotype" w:cs="Times New Roman"/>
          <w:sz w:val="20"/>
          <w:szCs w:val="24"/>
          <w:lang/>
        </w:rPr>
        <w:t xml:space="preserve">urrently serves as the Managing Veterinarian for the U.S. Navy Marine Mammal Program and Head of the Scientific and Veterinary Support Branch, Naval Information Warfare Center Pacific. San Diego, CA. Eric has more than 30 years working with the care and husbandry of bottlenose dolphins globally. Originally from Iowa, he attended veterinary school at Iowa State University College </w:t>
      </w:r>
      <w:r w:rsidR="00403F01">
        <w:rPr>
          <w:rFonts w:ascii="Palatino Linotype" w:hAnsi="Palatino Linotype" w:cs="Times New Roman"/>
          <w:sz w:val="20"/>
          <w:szCs w:val="24"/>
          <w:lang/>
        </w:rPr>
        <w:lastRenderedPageBreak/>
        <w:t xml:space="preserve">of Veterinary Medicine. </w:t>
      </w:r>
      <w:r w:rsidRPr="00403F01">
        <w:rPr>
          <w:rFonts w:ascii="Palatino Linotype" w:hAnsi="Palatino Linotype" w:cs="Times New Roman"/>
          <w:sz w:val="20"/>
          <w:szCs w:val="24"/>
          <w:lang/>
        </w:rPr>
        <w:t>Research interests focus on the advancement of bottlenose dolphin and sea lion medicine.</w:t>
      </w:r>
    </w:p>
    <w:p w14:paraId="7310D48C" w14:textId="7C85E401" w:rsidR="00405F2B" w:rsidRPr="00403F01" w:rsidRDefault="00405F2B" w:rsidP="00403F01">
      <w:pPr>
        <w:adjustRightInd w:val="0"/>
        <w:snapToGrid w:val="0"/>
        <w:spacing w:before="120" w:after="0" w:line="260" w:lineRule="atLeast"/>
        <w:jc w:val="both"/>
        <w:rPr>
          <w:rFonts w:ascii="Palatino Linotype" w:hAnsi="Palatino Linotype" w:cs="Times New Roman"/>
          <w:sz w:val="20"/>
          <w:szCs w:val="24"/>
          <w:lang/>
        </w:rPr>
      </w:pPr>
      <w:r w:rsidRPr="00403F01">
        <w:rPr>
          <w:rFonts w:ascii="Palatino Linotype" w:hAnsi="Palatino Linotype" w:cs="Times New Roman"/>
          <w:b/>
          <w:bCs/>
          <w:sz w:val="20"/>
          <w:szCs w:val="24"/>
        </w:rPr>
        <w:t>Keith D. Mullin</w:t>
      </w:r>
      <w:r w:rsidRPr="00403F01">
        <w:rPr>
          <w:rFonts w:ascii="Palatino Linotype" w:hAnsi="Palatino Linotype" w:cs="Times New Roman"/>
          <w:sz w:val="20"/>
          <w:szCs w:val="24"/>
        </w:rPr>
        <w:t>, PhD</w:t>
      </w:r>
      <w:r w:rsidRPr="00403F01">
        <w:rPr>
          <w:rFonts w:ascii="Palatino Linotype" w:hAnsi="Palatino Linotype" w:cs="Times New Roman"/>
          <w:b/>
          <w:bCs/>
          <w:sz w:val="20"/>
          <w:szCs w:val="24"/>
        </w:rPr>
        <w:t xml:space="preserve"> </w:t>
      </w:r>
      <w:r w:rsidRPr="00403F01">
        <w:rPr>
          <w:rFonts w:ascii="Palatino Linotype" w:hAnsi="Palatino Linotype" w:cs="Times New Roman"/>
          <w:sz w:val="20"/>
          <w:szCs w:val="24"/>
          <w:lang/>
        </w:rPr>
        <w:t>received a Ph.D. in Zoology from Mississippi State University and is a Research Biologist with the Southeast Fisheries Science Center, National Marine Fisheries Servi</w:t>
      </w:r>
      <w:r w:rsidR="00403F01">
        <w:rPr>
          <w:rFonts w:ascii="Palatino Linotype" w:hAnsi="Palatino Linotype" w:cs="Times New Roman"/>
          <w:sz w:val="20"/>
          <w:szCs w:val="24"/>
          <w:lang/>
        </w:rPr>
        <w:t xml:space="preserve">ce in Pascagoula, Mississippi. </w:t>
      </w:r>
      <w:r w:rsidRPr="00403F01">
        <w:rPr>
          <w:rFonts w:ascii="Palatino Linotype" w:hAnsi="Palatino Linotype" w:cs="Times New Roman"/>
          <w:sz w:val="20"/>
          <w:szCs w:val="24"/>
          <w:lang/>
        </w:rPr>
        <w:t>He has over 30 years of experience conducting assessment surveys of cetaceans in the U.S. Gulf of Mexico and Atlantic Ocean.  He led an effort to monitor common bottlenose dolphins impacted by variable salinity in Lake Pontchartrain</w:t>
      </w:r>
      <w:r w:rsidR="00403F01">
        <w:rPr>
          <w:rFonts w:ascii="Palatino Linotype" w:hAnsi="Palatino Linotype" w:cs="Times New Roman"/>
          <w:sz w:val="20"/>
          <w:szCs w:val="24"/>
          <w:lang/>
        </w:rPr>
        <w:t xml:space="preserve">, Louisiana from 2007 to 2014. </w:t>
      </w:r>
      <w:r w:rsidRPr="00403F01">
        <w:rPr>
          <w:rFonts w:ascii="Palatino Linotype" w:hAnsi="Palatino Linotype" w:cs="Times New Roman"/>
          <w:sz w:val="20"/>
          <w:szCs w:val="24"/>
          <w:lang/>
        </w:rPr>
        <w:t>His research interests are the abundance, distribution and habitat of cetaceans in the Gulf of Mexico, western North Atlantic and Caribbean Sea.</w:t>
      </w:r>
    </w:p>
    <w:p w14:paraId="67B6F9BD" w14:textId="30FBB377" w:rsidR="00405F2B" w:rsidRPr="00403F01" w:rsidRDefault="00405F2B" w:rsidP="00403F01">
      <w:pPr>
        <w:adjustRightInd w:val="0"/>
        <w:snapToGrid w:val="0"/>
        <w:spacing w:before="120" w:after="0" w:line="260" w:lineRule="atLeast"/>
        <w:jc w:val="both"/>
        <w:rPr>
          <w:rFonts w:ascii="Palatino Linotype" w:hAnsi="Palatino Linotype" w:cs="Times New Roman"/>
          <w:sz w:val="20"/>
          <w:szCs w:val="24"/>
        </w:rPr>
      </w:pPr>
      <w:r w:rsidRPr="00403F01">
        <w:rPr>
          <w:rFonts w:ascii="Palatino Linotype" w:hAnsi="Palatino Linotype" w:cs="Times New Roman"/>
          <w:b/>
          <w:bCs/>
          <w:sz w:val="20"/>
          <w:szCs w:val="24"/>
        </w:rPr>
        <w:t xml:space="preserve">Leslie Hart, </w:t>
      </w:r>
      <w:r w:rsidRPr="00403F01">
        <w:rPr>
          <w:rFonts w:ascii="Palatino Linotype" w:hAnsi="Palatino Linotype" w:cs="Times New Roman"/>
          <w:sz w:val="20"/>
          <w:szCs w:val="24"/>
        </w:rPr>
        <w:t>Ph.D., M.S. is an Assistant Professor of Public Health at the College of Charleston, located in Charl</w:t>
      </w:r>
      <w:r w:rsidR="00403F01">
        <w:rPr>
          <w:rFonts w:ascii="Palatino Linotype" w:hAnsi="Palatino Linotype" w:cs="Times New Roman"/>
          <w:sz w:val="20"/>
          <w:szCs w:val="24"/>
        </w:rPr>
        <w:t xml:space="preserve">eston, SC. </w:t>
      </w:r>
      <w:r w:rsidRPr="00403F01">
        <w:rPr>
          <w:rFonts w:ascii="Palatino Linotype" w:hAnsi="Palatino Linotype" w:cs="Times New Roman"/>
          <w:sz w:val="20"/>
          <w:szCs w:val="24"/>
        </w:rPr>
        <w:t xml:space="preserve">At the College, Leslie teaches undergraduate courses in Research Design, Biostatistics, and Epidemiology, and her research agenda is primarily focused on human and marine mammal exposure to endocrine-disrupting chemicals added to common consumer products.  She previously worked as a Wildlife Epidemiologist for the National Oceanic and </w:t>
      </w:r>
      <w:proofErr w:type="spellStart"/>
      <w:r w:rsidRPr="00403F01">
        <w:rPr>
          <w:rFonts w:ascii="Palatino Linotype" w:hAnsi="Palatino Linotype" w:cs="Times New Roman"/>
          <w:sz w:val="20"/>
          <w:szCs w:val="24"/>
        </w:rPr>
        <w:t>Atmostpheric</w:t>
      </w:r>
      <w:proofErr w:type="spellEnd"/>
      <w:r w:rsidRPr="00403F01">
        <w:rPr>
          <w:rFonts w:ascii="Palatino Linotype" w:hAnsi="Palatino Linotype" w:cs="Times New Roman"/>
          <w:sz w:val="20"/>
          <w:szCs w:val="24"/>
        </w:rPr>
        <w:t xml:space="preserve"> Administration (NOAA) to help investigate bottlenose dolphin health impacts associated with exposure to environmental stressors and contaminants.  Her degrees are from the Medical University of South Carolina (Ph.D., Epidemiology), the College of Charleston (M.S., Environmental Studies), and the College of William and Mary (B.S., Biolo</w:t>
      </w:r>
      <w:r w:rsidR="00403F01">
        <w:rPr>
          <w:rFonts w:ascii="Palatino Linotype" w:hAnsi="Palatino Linotype" w:cs="Times New Roman"/>
          <w:sz w:val="20"/>
          <w:szCs w:val="24"/>
        </w:rPr>
        <w:t xml:space="preserve">gy and Environmental Studies). </w:t>
      </w:r>
      <w:r w:rsidRPr="00403F01">
        <w:rPr>
          <w:rFonts w:ascii="Palatino Linotype" w:hAnsi="Palatino Linotype" w:cs="Times New Roman"/>
          <w:sz w:val="20"/>
          <w:szCs w:val="24"/>
        </w:rPr>
        <w:t>She has 19 years of experience working with marine mammals, and her dissertation research focused on identifying the distribution and determinants of skin lesions in wild bottlenose dolphins, including linkages with water temperature and salinity.</w:t>
      </w:r>
    </w:p>
    <w:p w14:paraId="7197C3AA" w14:textId="46F50FE6" w:rsidR="00405F2B" w:rsidRPr="00403F01" w:rsidRDefault="00405F2B" w:rsidP="00403F01">
      <w:pPr>
        <w:adjustRightInd w:val="0"/>
        <w:snapToGrid w:val="0"/>
        <w:spacing w:before="120" w:after="0" w:line="260" w:lineRule="atLeast"/>
        <w:jc w:val="both"/>
        <w:rPr>
          <w:rFonts w:ascii="Palatino Linotype" w:hAnsi="Palatino Linotype" w:cs="Times New Roman"/>
          <w:sz w:val="20"/>
          <w:szCs w:val="24"/>
          <w:lang/>
        </w:rPr>
      </w:pPr>
      <w:r w:rsidRPr="00403F01">
        <w:rPr>
          <w:rFonts w:ascii="Palatino Linotype" w:hAnsi="Palatino Linotype" w:cs="Times New Roman"/>
          <w:b/>
          <w:bCs/>
          <w:sz w:val="20"/>
          <w:szCs w:val="24"/>
        </w:rPr>
        <w:t xml:space="preserve">Lori </w:t>
      </w:r>
      <w:proofErr w:type="spellStart"/>
      <w:r w:rsidRPr="00403F01">
        <w:rPr>
          <w:rFonts w:ascii="Palatino Linotype" w:hAnsi="Palatino Linotype" w:cs="Times New Roman"/>
          <w:b/>
          <w:bCs/>
          <w:sz w:val="20"/>
          <w:szCs w:val="24"/>
        </w:rPr>
        <w:t>Schwacke</w:t>
      </w:r>
      <w:proofErr w:type="spellEnd"/>
      <w:r w:rsidRPr="00403F01">
        <w:rPr>
          <w:rFonts w:ascii="Palatino Linotype" w:hAnsi="Palatino Linotype" w:cs="Times New Roman"/>
          <w:b/>
          <w:bCs/>
          <w:sz w:val="20"/>
          <w:szCs w:val="24"/>
        </w:rPr>
        <w:t xml:space="preserve">, PhD </w:t>
      </w:r>
      <w:r w:rsidRPr="00403F01">
        <w:rPr>
          <w:rFonts w:ascii="Palatino Linotype" w:hAnsi="Palatino Linotype" w:cs="Times New Roman"/>
          <w:sz w:val="20"/>
          <w:szCs w:val="24"/>
          <w:lang/>
        </w:rPr>
        <w:t>currently serves as Chief Scientist for Conservation Medicine at the National Marine Mammal Foundation (NMMF), supporting NMMF efforts to improve the health and conservation of marine mammal populations worldwide. Dr. Schwacke’s research career has focused on the connections among marine wildlife health, human health, and the marine environment. For the 16 years prior to joining NMMF, she worked for the National Oceanic and Atmospheric Administration (NOAA) where she led an interdisciplinary research team for the NOAA Oceans and Hum</w:t>
      </w:r>
      <w:r w:rsidR="00403F01">
        <w:rPr>
          <w:rFonts w:ascii="Palatino Linotype" w:hAnsi="Palatino Linotype" w:cs="Times New Roman"/>
          <w:sz w:val="20"/>
          <w:szCs w:val="24"/>
          <w:lang/>
        </w:rPr>
        <w:t xml:space="preserve">an Health Initiative. </w:t>
      </w:r>
      <w:r w:rsidRPr="00403F01">
        <w:rPr>
          <w:rFonts w:ascii="Palatino Linotype" w:hAnsi="Palatino Linotype" w:cs="Times New Roman"/>
          <w:sz w:val="20"/>
          <w:szCs w:val="24"/>
          <w:lang/>
        </w:rPr>
        <w:t>She also led efforts to assess and quantify injuries to Gulf of Mexico dolphin populations following the</w:t>
      </w:r>
      <w:r w:rsidR="00403F01">
        <w:rPr>
          <w:rFonts w:ascii="Palatino Linotype" w:hAnsi="Palatino Linotype" w:cs="Times New Roman"/>
          <w:sz w:val="20"/>
          <w:szCs w:val="24"/>
          <w:lang w:val="en-US"/>
        </w:rPr>
        <w:t xml:space="preserve"> </w:t>
      </w:r>
      <w:r w:rsidRPr="00403F01">
        <w:rPr>
          <w:rFonts w:ascii="Palatino Linotype" w:hAnsi="Palatino Linotype" w:cs="Times New Roman"/>
          <w:i/>
          <w:iCs/>
          <w:sz w:val="20"/>
          <w:szCs w:val="24"/>
          <w:lang/>
        </w:rPr>
        <w:t>Deepwater Horizon</w:t>
      </w:r>
      <w:r w:rsidRPr="00403F01">
        <w:rPr>
          <w:rFonts w:ascii="Palatino Linotype" w:hAnsi="Palatino Linotype" w:cs="Times New Roman"/>
          <w:sz w:val="20"/>
          <w:szCs w:val="24"/>
          <w:lang/>
        </w:rPr>
        <w:t> oil spill, and has continued that research for the decade since the spill. Dr. Schwacke holds a PhD in Biostatistics, Epidemiology, and Systems Science from the Medical University of South Carolina and a BS in Computer Science from Florida State University.</w:t>
      </w:r>
    </w:p>
    <w:p w14:paraId="663A4232" w14:textId="716FF371" w:rsidR="00405F2B" w:rsidRPr="00403F01" w:rsidRDefault="00405F2B" w:rsidP="00403F01">
      <w:pPr>
        <w:adjustRightInd w:val="0"/>
        <w:snapToGrid w:val="0"/>
        <w:spacing w:before="120" w:after="0" w:line="260" w:lineRule="atLeast"/>
        <w:jc w:val="both"/>
        <w:rPr>
          <w:rFonts w:ascii="Palatino Linotype" w:hAnsi="Palatino Linotype" w:cs="Times New Roman"/>
          <w:b/>
          <w:bCs/>
          <w:sz w:val="20"/>
          <w:szCs w:val="24"/>
        </w:rPr>
      </w:pPr>
      <w:r w:rsidRPr="00403F01">
        <w:rPr>
          <w:rFonts w:ascii="Palatino Linotype" w:hAnsi="Palatino Linotype" w:cs="Times New Roman"/>
          <w:b/>
          <w:bCs/>
          <w:sz w:val="20"/>
          <w:szCs w:val="24"/>
        </w:rPr>
        <w:t xml:space="preserve">Michael </w:t>
      </w:r>
      <w:proofErr w:type="spellStart"/>
      <w:r w:rsidRPr="00403F01">
        <w:rPr>
          <w:rFonts w:ascii="Palatino Linotype" w:hAnsi="Palatino Linotype" w:cs="Times New Roman"/>
          <w:b/>
          <w:bCs/>
          <w:sz w:val="20"/>
          <w:szCs w:val="24"/>
        </w:rPr>
        <w:t>Janech</w:t>
      </w:r>
      <w:proofErr w:type="spellEnd"/>
      <w:r w:rsidRPr="00403F01">
        <w:rPr>
          <w:rFonts w:ascii="Palatino Linotype" w:hAnsi="Palatino Linotype" w:cs="Times New Roman"/>
          <w:b/>
          <w:bCs/>
          <w:sz w:val="20"/>
          <w:szCs w:val="24"/>
        </w:rPr>
        <w:t xml:space="preserve">, PhD </w:t>
      </w:r>
      <w:r w:rsidRPr="00403F01">
        <w:rPr>
          <w:rFonts w:ascii="Palatino Linotype" w:hAnsi="Palatino Linotype" w:cs="Times New Roman"/>
          <w:sz w:val="20"/>
          <w:szCs w:val="24"/>
        </w:rPr>
        <w:t>is an Associate Professor at the College of Charleston and the South Carolina Smart State Endowed Chair in Marine Environmental Health. He was previously the Director of the Nephrology Proteomics Laboratory at the Medical University of South Carolina,</w:t>
      </w:r>
      <w:r w:rsidR="001A3D57">
        <w:rPr>
          <w:rFonts w:ascii="Palatino Linotype" w:hAnsi="Palatino Linotype" w:cs="Times New Roman"/>
          <w:sz w:val="20"/>
          <w:szCs w:val="24"/>
        </w:rPr>
        <w:t xml:space="preserve"> Charleston, SC. He has 15 </w:t>
      </w:r>
      <w:bookmarkStart w:id="0" w:name="_GoBack"/>
      <w:bookmarkEnd w:id="0"/>
      <w:proofErr w:type="spellStart"/>
      <w:proofErr w:type="gramStart"/>
      <w:r w:rsidR="00403F01">
        <w:rPr>
          <w:rFonts w:ascii="Palatino Linotype" w:hAnsi="Palatino Linotype" w:cs="Times New Roman"/>
          <w:sz w:val="20"/>
          <w:szCs w:val="24"/>
        </w:rPr>
        <w:t>years</w:t>
      </w:r>
      <w:proofErr w:type="gramEnd"/>
      <w:r w:rsidRPr="00403F01">
        <w:rPr>
          <w:rFonts w:ascii="Palatino Linotype" w:hAnsi="Palatino Linotype" w:cs="Times New Roman"/>
          <w:sz w:val="20"/>
          <w:szCs w:val="24"/>
        </w:rPr>
        <w:t xml:space="preserve"> experience</w:t>
      </w:r>
      <w:proofErr w:type="spellEnd"/>
      <w:r w:rsidRPr="00403F01">
        <w:rPr>
          <w:rFonts w:ascii="Palatino Linotype" w:hAnsi="Palatino Linotype" w:cs="Times New Roman"/>
          <w:sz w:val="20"/>
          <w:szCs w:val="24"/>
        </w:rPr>
        <w:t xml:space="preserve"> conducting protein analysis for marine mammals and has created target protein assays for bottlenose dolphins in collaboration with the National Marine Mammal Foundation and US Navy Marine Mammal Program. He received his Ph.D. in Molecular and Cellular Biology – Marine Biomedicine track from the Medical University of South Carolina. His interests include renal pathophysiology, proteomics, mass spectrometry, and applying these methods to investigate disease in marine mammals.</w:t>
      </w:r>
    </w:p>
    <w:p w14:paraId="640A78AA" w14:textId="0F53B9F9" w:rsidR="00405F2B" w:rsidRPr="00403F01" w:rsidRDefault="00405F2B" w:rsidP="00403F01">
      <w:pPr>
        <w:autoSpaceDE w:val="0"/>
        <w:autoSpaceDN w:val="0"/>
        <w:adjustRightInd w:val="0"/>
        <w:snapToGrid w:val="0"/>
        <w:spacing w:before="120" w:after="0" w:line="260" w:lineRule="atLeast"/>
        <w:jc w:val="both"/>
        <w:rPr>
          <w:rFonts w:ascii="Palatino Linotype" w:eastAsia="Times New Roman" w:hAnsi="Palatino Linotype" w:cs="Times New Roman"/>
          <w:sz w:val="20"/>
          <w:szCs w:val="24"/>
          <w:lang w:val="en-CA"/>
        </w:rPr>
      </w:pPr>
      <w:r w:rsidRPr="00403F01">
        <w:rPr>
          <w:rFonts w:ascii="Palatino Linotype" w:eastAsia="Times New Roman" w:hAnsi="Palatino Linotype" w:cs="Times New Roman"/>
          <w:b/>
          <w:bCs/>
          <w:sz w:val="20"/>
          <w:szCs w:val="24"/>
          <w:lang w:val="en-CA"/>
        </w:rPr>
        <w:t>Patrick (</w:t>
      </w:r>
      <w:proofErr w:type="spellStart"/>
      <w:r w:rsidRPr="00403F01">
        <w:rPr>
          <w:rFonts w:ascii="Palatino Linotype" w:eastAsia="Times New Roman" w:hAnsi="Palatino Linotype" w:cs="Times New Roman"/>
          <w:b/>
          <w:bCs/>
          <w:sz w:val="20"/>
          <w:szCs w:val="24"/>
          <w:lang w:val="en-CA"/>
        </w:rPr>
        <w:t>Pádraig</w:t>
      </w:r>
      <w:proofErr w:type="spellEnd"/>
      <w:r w:rsidRPr="00403F01">
        <w:rPr>
          <w:rFonts w:ascii="Palatino Linotype" w:eastAsia="Times New Roman" w:hAnsi="Palatino Linotype" w:cs="Times New Roman"/>
          <w:b/>
          <w:bCs/>
          <w:sz w:val="20"/>
          <w:szCs w:val="24"/>
          <w:lang w:val="en-CA"/>
        </w:rPr>
        <w:t>) J. Duignan</w:t>
      </w:r>
      <w:r w:rsidRPr="00403F01">
        <w:rPr>
          <w:rFonts w:ascii="Palatino Linotype" w:eastAsia="Times New Roman" w:hAnsi="Palatino Linotype" w:cs="Times New Roman"/>
          <w:sz w:val="20"/>
          <w:szCs w:val="24"/>
          <w:lang w:val="en-CA"/>
        </w:rPr>
        <w:t xml:space="preserve">, DVM, Ph.D. is the Chief Pathologist at The Marine Mammal Center, Sausalito, CA, and holds adjunct faculty positions in veterinary pathology at the University of Calgary, Canada, and in Wildlife Health at UC Davis, CA. He completed his B.Sc. (Zoology), M.Sc. (Biochemistry) and DVM at University College Dublin, Ireland, Ph.D. at the Ontario Veterinary College, Canada, and anatomic pathology residencies at OVC and UC Davis, California. Previous positions included tenured professorships at the University of Calgary, Canada, University of Melbourne, Australia, and Massey University, New Zealand. He has 30-years experience in wildlife pathology and research with an emphasis on marine mammals. He has 103 peer reviewed publications in scientific journals and ten book chapters and numerous presentations at conferences, symposia and </w:t>
      </w:r>
      <w:r w:rsidRPr="00403F01">
        <w:rPr>
          <w:rFonts w:ascii="Palatino Linotype" w:eastAsia="Times New Roman" w:hAnsi="Palatino Linotype" w:cs="Times New Roman"/>
          <w:sz w:val="20"/>
          <w:szCs w:val="24"/>
          <w:lang w:val="en-CA"/>
        </w:rPr>
        <w:lastRenderedPageBreak/>
        <w:t xml:space="preserve">workshops globally. He has conducted field and laboratory research on pinnipeds and cetaceans in Ireland, U.K., Canada, the USA, New Zealand and Australia. He is currently responsible for diagnostic pathology in marine mammals at TMMC and leads research on several relevant diseases including </w:t>
      </w:r>
      <w:proofErr w:type="spellStart"/>
      <w:r w:rsidRPr="00403F01">
        <w:rPr>
          <w:rFonts w:ascii="Palatino Linotype" w:eastAsia="Times New Roman" w:hAnsi="Palatino Linotype" w:cs="Times New Roman"/>
          <w:sz w:val="20"/>
          <w:szCs w:val="24"/>
          <w:lang w:val="en-CA"/>
        </w:rPr>
        <w:t>domoic</w:t>
      </w:r>
      <w:proofErr w:type="spellEnd"/>
      <w:r w:rsidRPr="00403F01">
        <w:rPr>
          <w:rFonts w:ascii="Palatino Linotype" w:eastAsia="Times New Roman" w:hAnsi="Palatino Linotype" w:cs="Times New Roman"/>
          <w:sz w:val="20"/>
          <w:szCs w:val="24"/>
          <w:lang w:val="en-CA"/>
        </w:rPr>
        <w:t xml:space="preserve"> acid poisoning, urogenital carcinoma, leptospirosis and </w:t>
      </w:r>
      <w:proofErr w:type="spellStart"/>
      <w:r w:rsidRPr="00403F01">
        <w:rPr>
          <w:rFonts w:ascii="Palatino Linotype" w:eastAsia="Times New Roman" w:hAnsi="Palatino Linotype" w:cs="Times New Roman"/>
          <w:sz w:val="20"/>
          <w:szCs w:val="24"/>
          <w:lang w:val="en-CA"/>
        </w:rPr>
        <w:t>sarcocystosis</w:t>
      </w:r>
      <w:proofErr w:type="spellEnd"/>
      <w:r w:rsidRPr="00403F01">
        <w:rPr>
          <w:rFonts w:ascii="Palatino Linotype" w:eastAsia="Times New Roman" w:hAnsi="Palatino Linotype" w:cs="Times New Roman"/>
          <w:sz w:val="20"/>
          <w:szCs w:val="24"/>
          <w:lang w:val="en-CA"/>
        </w:rPr>
        <w:t xml:space="preserve">. General interests include emerging infectious diseases, disease ecology, and the influence of climate change on infectious disease epidemiology. External research projects include identifying markers for chronic stress in narwhals, morbillivirus infection in pinnipeds and cetaceans, and dermatitis bottlenose dolphins in Australia. </w:t>
      </w:r>
    </w:p>
    <w:p w14:paraId="1A123F74" w14:textId="1E2D75E8" w:rsidR="006A3320" w:rsidRDefault="006A3320" w:rsidP="00405F2B">
      <w:pPr>
        <w:autoSpaceDE w:val="0"/>
        <w:autoSpaceDN w:val="0"/>
        <w:adjustRightInd w:val="0"/>
        <w:spacing w:after="0" w:line="240" w:lineRule="auto"/>
        <w:contextualSpacing/>
        <w:jc w:val="both"/>
        <w:rPr>
          <w:rFonts w:ascii="Times New Roman" w:eastAsia="Times New Roman" w:hAnsi="Times New Roman" w:cs="Times New Roman"/>
          <w:sz w:val="24"/>
          <w:szCs w:val="24"/>
          <w:lang w:val="en-CA"/>
        </w:rPr>
      </w:pPr>
    </w:p>
    <w:p w14:paraId="79981D4A" w14:textId="4F1A8A10" w:rsidR="009D2CBA" w:rsidRPr="00403F01" w:rsidRDefault="009D2CBA" w:rsidP="00403F01">
      <w:pPr>
        <w:pStyle w:val="Caption"/>
        <w:keepNext/>
        <w:adjustRightInd w:val="0"/>
        <w:snapToGrid w:val="0"/>
        <w:jc w:val="center"/>
        <w:rPr>
          <w:rFonts w:ascii="Palatino Linotype" w:hAnsi="Palatino Linotype"/>
          <w:i w:val="0"/>
          <w:color w:val="auto"/>
          <w:sz w:val="20"/>
        </w:rPr>
      </w:pPr>
      <w:r w:rsidRPr="00403F01">
        <w:rPr>
          <w:rFonts w:ascii="Palatino Linotype" w:hAnsi="Palatino Linotype"/>
          <w:b/>
          <w:i w:val="0"/>
          <w:color w:val="auto"/>
          <w:sz w:val="20"/>
        </w:rPr>
        <w:t>Table S2</w:t>
      </w:r>
      <w:r w:rsidR="00403F01">
        <w:rPr>
          <w:rFonts w:ascii="Palatino Linotype" w:hAnsi="Palatino Linotype"/>
          <w:i w:val="0"/>
          <w:color w:val="auto"/>
          <w:sz w:val="20"/>
        </w:rPr>
        <w:t>.</w:t>
      </w:r>
      <w:r w:rsidRPr="00403F01">
        <w:rPr>
          <w:rFonts w:ascii="Palatino Linotype" w:hAnsi="Palatino Linotype"/>
          <w:i w:val="0"/>
          <w:color w:val="auto"/>
          <w:sz w:val="20"/>
        </w:rPr>
        <w:t xml:space="preserve"> Expert elicitation </w:t>
      </w:r>
      <w:r w:rsidR="0087391B" w:rsidRPr="00403F01">
        <w:rPr>
          <w:rFonts w:ascii="Palatino Linotype" w:hAnsi="Palatino Linotype"/>
          <w:i w:val="0"/>
          <w:color w:val="auto"/>
          <w:sz w:val="20"/>
        </w:rPr>
        <w:t>p</w:t>
      </w:r>
      <w:r w:rsidRPr="00403F01">
        <w:rPr>
          <w:rFonts w:ascii="Palatino Linotype" w:hAnsi="Palatino Linotype"/>
          <w:i w:val="0"/>
          <w:color w:val="auto"/>
          <w:sz w:val="20"/>
        </w:rPr>
        <w:t>rogramme</w:t>
      </w:r>
      <w:r w:rsidRPr="00403F01">
        <w:rPr>
          <w:rFonts w:ascii="Palatino Linotype" w:hAnsi="Palatino Linotype"/>
          <w:i w:val="0"/>
          <w:noProof/>
          <w:color w:val="auto"/>
          <w:sz w:val="20"/>
        </w:rPr>
        <w:t>.</w:t>
      </w:r>
    </w:p>
    <w:tbl>
      <w:tblPr>
        <w:tblStyle w:val="TableGrid"/>
        <w:tblW w:w="9016" w:type="dxa"/>
        <w:tblLook w:val="04A0" w:firstRow="1" w:lastRow="0" w:firstColumn="1" w:lastColumn="0" w:noHBand="0" w:noVBand="1"/>
      </w:tblPr>
      <w:tblGrid>
        <w:gridCol w:w="1517"/>
        <w:gridCol w:w="1279"/>
        <w:gridCol w:w="1924"/>
        <w:gridCol w:w="4296"/>
      </w:tblGrid>
      <w:tr w:rsidR="009D2CBA" w:rsidRPr="00403F01" w14:paraId="55A41683" w14:textId="77777777" w:rsidTr="009D2CBA">
        <w:tc>
          <w:tcPr>
            <w:tcW w:w="1517" w:type="dxa"/>
          </w:tcPr>
          <w:p w14:paraId="5BA8AC13" w14:textId="523739A9" w:rsidR="009D2CBA" w:rsidRPr="00403F01" w:rsidRDefault="009D2CBA" w:rsidP="00403F01">
            <w:pPr>
              <w:adjustRightInd w:val="0"/>
              <w:snapToGrid w:val="0"/>
              <w:jc w:val="both"/>
              <w:rPr>
                <w:rFonts w:ascii="Palatino Linotype" w:hAnsi="Palatino Linotype" w:cs="Times New Roman"/>
                <w:b/>
                <w:bCs/>
                <w:sz w:val="20"/>
                <w:szCs w:val="24"/>
              </w:rPr>
            </w:pPr>
            <w:r w:rsidRPr="00403F01">
              <w:rPr>
                <w:rFonts w:ascii="Palatino Linotype" w:hAnsi="Palatino Linotype" w:cs="Times New Roman"/>
                <w:b/>
                <w:bCs/>
                <w:sz w:val="20"/>
                <w:szCs w:val="24"/>
              </w:rPr>
              <w:t>Element</w:t>
            </w:r>
          </w:p>
        </w:tc>
        <w:tc>
          <w:tcPr>
            <w:tcW w:w="1279" w:type="dxa"/>
          </w:tcPr>
          <w:p w14:paraId="1E503FD8" w14:textId="25933E31" w:rsidR="009D2CBA" w:rsidRPr="00403F01" w:rsidRDefault="009D2CBA" w:rsidP="00403F01">
            <w:pPr>
              <w:adjustRightInd w:val="0"/>
              <w:snapToGrid w:val="0"/>
              <w:jc w:val="both"/>
              <w:rPr>
                <w:rFonts w:ascii="Palatino Linotype" w:hAnsi="Palatino Linotype" w:cs="Times New Roman"/>
                <w:b/>
                <w:bCs/>
                <w:sz w:val="20"/>
                <w:szCs w:val="24"/>
              </w:rPr>
            </w:pPr>
            <w:r w:rsidRPr="00403F01">
              <w:rPr>
                <w:rFonts w:ascii="Palatino Linotype" w:hAnsi="Palatino Linotype" w:cs="Times New Roman"/>
                <w:b/>
                <w:bCs/>
                <w:sz w:val="20"/>
                <w:szCs w:val="24"/>
              </w:rPr>
              <w:t>Method</w:t>
            </w:r>
          </w:p>
        </w:tc>
        <w:tc>
          <w:tcPr>
            <w:tcW w:w="1924" w:type="dxa"/>
          </w:tcPr>
          <w:p w14:paraId="2F88F465" w14:textId="47157C59" w:rsidR="009D2CBA" w:rsidRPr="00403F01" w:rsidRDefault="009D2CBA" w:rsidP="00403F01">
            <w:pPr>
              <w:adjustRightInd w:val="0"/>
              <w:snapToGrid w:val="0"/>
              <w:jc w:val="both"/>
              <w:rPr>
                <w:rFonts w:ascii="Palatino Linotype" w:hAnsi="Palatino Linotype" w:cs="Times New Roman"/>
                <w:b/>
                <w:bCs/>
                <w:sz w:val="20"/>
                <w:szCs w:val="24"/>
              </w:rPr>
            </w:pPr>
            <w:r w:rsidRPr="00403F01">
              <w:rPr>
                <w:rFonts w:ascii="Palatino Linotype" w:hAnsi="Palatino Linotype" w:cs="Times New Roman"/>
                <w:b/>
                <w:bCs/>
                <w:sz w:val="20"/>
                <w:szCs w:val="24"/>
              </w:rPr>
              <w:t>Date</w:t>
            </w:r>
          </w:p>
        </w:tc>
        <w:tc>
          <w:tcPr>
            <w:tcW w:w="4296" w:type="dxa"/>
          </w:tcPr>
          <w:p w14:paraId="70DE290B" w14:textId="6F8C88BF" w:rsidR="009D2CBA" w:rsidRPr="00403F01" w:rsidRDefault="009D2CBA" w:rsidP="00403F01">
            <w:pPr>
              <w:adjustRightInd w:val="0"/>
              <w:snapToGrid w:val="0"/>
              <w:jc w:val="both"/>
              <w:rPr>
                <w:rFonts w:ascii="Palatino Linotype" w:hAnsi="Palatino Linotype" w:cs="Times New Roman"/>
                <w:b/>
                <w:bCs/>
                <w:sz w:val="20"/>
                <w:szCs w:val="24"/>
              </w:rPr>
            </w:pPr>
            <w:r w:rsidRPr="00403F01">
              <w:rPr>
                <w:rFonts w:ascii="Palatino Linotype" w:hAnsi="Palatino Linotype" w:cs="Times New Roman"/>
                <w:b/>
                <w:bCs/>
                <w:sz w:val="20"/>
                <w:szCs w:val="24"/>
              </w:rPr>
              <w:t>Purpose</w:t>
            </w:r>
          </w:p>
        </w:tc>
      </w:tr>
      <w:tr w:rsidR="009D2CBA" w:rsidRPr="00403F01" w14:paraId="6B4E9BCC" w14:textId="77777777" w:rsidTr="009D2CBA">
        <w:tc>
          <w:tcPr>
            <w:tcW w:w="1517" w:type="dxa"/>
            <w:vAlign w:val="center"/>
          </w:tcPr>
          <w:p w14:paraId="130085A5" w14:textId="1CDA6C44" w:rsidR="009D2CBA" w:rsidRPr="00403F01" w:rsidRDefault="009D2CBA" w:rsidP="00403F01">
            <w:pPr>
              <w:adjustRightInd w:val="0"/>
              <w:snapToGrid w:val="0"/>
              <w:rPr>
                <w:rFonts w:ascii="Palatino Linotype" w:hAnsi="Palatino Linotype" w:cs="Times New Roman"/>
                <w:sz w:val="20"/>
                <w:szCs w:val="24"/>
              </w:rPr>
            </w:pPr>
            <w:r w:rsidRPr="00403F01">
              <w:rPr>
                <w:rFonts w:ascii="Palatino Linotype" w:hAnsi="Palatino Linotype" w:cs="Times New Roman"/>
                <w:sz w:val="20"/>
                <w:szCs w:val="24"/>
              </w:rPr>
              <w:t>Introductory Webinar</w:t>
            </w:r>
          </w:p>
        </w:tc>
        <w:tc>
          <w:tcPr>
            <w:tcW w:w="1279" w:type="dxa"/>
            <w:vAlign w:val="center"/>
          </w:tcPr>
          <w:p w14:paraId="3B8E8C10" w14:textId="5B501AC2"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Online meeting</w:t>
            </w:r>
          </w:p>
        </w:tc>
        <w:tc>
          <w:tcPr>
            <w:tcW w:w="1924" w:type="dxa"/>
            <w:vAlign w:val="center"/>
          </w:tcPr>
          <w:p w14:paraId="15E69883" w14:textId="2370CF69"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1 November 2019</w:t>
            </w:r>
          </w:p>
        </w:tc>
        <w:tc>
          <w:tcPr>
            <w:tcW w:w="4296" w:type="dxa"/>
          </w:tcPr>
          <w:p w14:paraId="1613CD8E" w14:textId="32AE6C05" w:rsidR="009D2CBA" w:rsidRPr="00403F01" w:rsidRDefault="009D2CBA" w:rsidP="00403F01">
            <w:pPr>
              <w:adjustRightInd w:val="0"/>
              <w:snapToGrid w:val="0"/>
              <w:jc w:val="both"/>
              <w:rPr>
                <w:rFonts w:ascii="Palatino Linotype" w:hAnsi="Palatino Linotype" w:cs="Times New Roman"/>
                <w:sz w:val="20"/>
                <w:szCs w:val="24"/>
              </w:rPr>
            </w:pPr>
            <w:r w:rsidRPr="00403F01">
              <w:rPr>
                <w:rFonts w:ascii="Palatino Linotype" w:hAnsi="Palatino Linotype" w:cs="Times New Roman"/>
                <w:sz w:val="20"/>
                <w:szCs w:val="24"/>
              </w:rPr>
              <w:t>To introduce experts to the expert elicitation process, discuss the objectives of this EE and get initial expert perspectives on what information would be useful to have in the workshop.</w:t>
            </w:r>
          </w:p>
        </w:tc>
      </w:tr>
      <w:tr w:rsidR="009D2CBA" w:rsidRPr="00403F01" w14:paraId="0AFB03AE" w14:textId="77777777" w:rsidTr="009D2CBA">
        <w:tc>
          <w:tcPr>
            <w:tcW w:w="1517" w:type="dxa"/>
            <w:vAlign w:val="center"/>
          </w:tcPr>
          <w:p w14:paraId="41BBD4A6" w14:textId="1B4C007C" w:rsidR="009D2CBA" w:rsidRPr="00403F01" w:rsidRDefault="009D2CBA" w:rsidP="00403F01">
            <w:pPr>
              <w:adjustRightInd w:val="0"/>
              <w:snapToGrid w:val="0"/>
              <w:rPr>
                <w:rFonts w:ascii="Palatino Linotype" w:hAnsi="Palatino Linotype" w:cs="Times New Roman"/>
                <w:sz w:val="20"/>
                <w:szCs w:val="24"/>
              </w:rPr>
            </w:pPr>
            <w:r w:rsidRPr="00403F01">
              <w:rPr>
                <w:rFonts w:ascii="Palatino Linotype" w:hAnsi="Palatino Linotype" w:cs="Times New Roman"/>
                <w:sz w:val="20"/>
                <w:szCs w:val="24"/>
              </w:rPr>
              <w:t xml:space="preserve">Elicitation training </w:t>
            </w:r>
          </w:p>
        </w:tc>
        <w:tc>
          <w:tcPr>
            <w:tcW w:w="1279" w:type="dxa"/>
            <w:vAlign w:val="center"/>
          </w:tcPr>
          <w:p w14:paraId="28545BB4" w14:textId="07C3B885"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Online</w:t>
            </w:r>
          </w:p>
        </w:tc>
        <w:tc>
          <w:tcPr>
            <w:tcW w:w="1924" w:type="dxa"/>
            <w:vAlign w:val="center"/>
          </w:tcPr>
          <w:p w14:paraId="1D9175BE" w14:textId="2FD2E37A"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2</w:t>
            </w:r>
            <w:r w:rsidR="00403F01">
              <w:rPr>
                <w:rFonts w:ascii="Palatino Linotype" w:hAnsi="Palatino Linotype" w:cs="Times New Roman"/>
                <w:sz w:val="20"/>
                <w:szCs w:val="24"/>
              </w:rPr>
              <w:t>–</w:t>
            </w:r>
            <w:r w:rsidRPr="00403F01">
              <w:rPr>
                <w:rFonts w:ascii="Palatino Linotype" w:hAnsi="Palatino Linotype" w:cs="Times New Roman"/>
                <w:sz w:val="20"/>
                <w:szCs w:val="24"/>
              </w:rPr>
              <w:t>18 Nov</w:t>
            </w:r>
            <w:r w:rsidR="00403F01">
              <w:rPr>
                <w:rFonts w:ascii="Palatino Linotype" w:hAnsi="Palatino Linotype" w:cs="Times New Roman"/>
                <w:sz w:val="20"/>
                <w:szCs w:val="24"/>
              </w:rPr>
              <w:t>.</w:t>
            </w:r>
            <w:r w:rsidRPr="00403F01">
              <w:rPr>
                <w:rFonts w:ascii="Palatino Linotype" w:hAnsi="Palatino Linotype" w:cs="Times New Roman"/>
                <w:sz w:val="20"/>
                <w:szCs w:val="24"/>
              </w:rPr>
              <w:t xml:space="preserve"> 2019</w:t>
            </w:r>
          </w:p>
        </w:tc>
        <w:tc>
          <w:tcPr>
            <w:tcW w:w="4296" w:type="dxa"/>
          </w:tcPr>
          <w:p w14:paraId="5DD9C1BD" w14:textId="4C360655" w:rsidR="009D2CBA" w:rsidRPr="00403F01" w:rsidRDefault="009D2CBA" w:rsidP="00403F01">
            <w:pPr>
              <w:adjustRightInd w:val="0"/>
              <w:snapToGrid w:val="0"/>
              <w:jc w:val="both"/>
              <w:rPr>
                <w:rFonts w:ascii="Palatino Linotype" w:hAnsi="Palatino Linotype" w:cs="Times New Roman"/>
                <w:sz w:val="20"/>
                <w:szCs w:val="24"/>
              </w:rPr>
            </w:pPr>
            <w:r w:rsidRPr="00403F01">
              <w:rPr>
                <w:rFonts w:ascii="Palatino Linotype" w:hAnsi="Palatino Linotype" w:cs="Times New Roman"/>
                <w:sz w:val="20"/>
                <w:szCs w:val="24"/>
              </w:rPr>
              <w:t xml:space="preserve">An online training course to be completed by each expert before the EE workshop. The 2-hour duration course is available at: </w:t>
            </w:r>
            <w:hyperlink r:id="rId5" w:history="1">
              <w:r w:rsidRPr="00403F01">
                <w:rPr>
                  <w:rStyle w:val="Hyperlink"/>
                  <w:rFonts w:ascii="Palatino Linotype" w:hAnsi="Palatino Linotype" w:cs="Times New Roman"/>
                  <w:sz w:val="20"/>
                  <w:szCs w:val="24"/>
                </w:rPr>
                <w:t>http://www.smruconsulting.com/products-tools/pcod/pcod-project-outputs/online-expert-elicitation-course/</w:t>
              </w:r>
            </w:hyperlink>
            <w:r w:rsidRPr="00403F01">
              <w:rPr>
                <w:rFonts w:ascii="Palatino Linotype" w:hAnsi="Palatino Linotype" w:cs="Times New Roman"/>
                <w:sz w:val="20"/>
                <w:szCs w:val="24"/>
              </w:rPr>
              <w:t xml:space="preserve"> </w:t>
            </w:r>
          </w:p>
        </w:tc>
      </w:tr>
      <w:tr w:rsidR="009D2CBA" w:rsidRPr="00403F01" w14:paraId="19B1B147" w14:textId="77777777" w:rsidTr="009D2CBA">
        <w:tc>
          <w:tcPr>
            <w:tcW w:w="1517" w:type="dxa"/>
            <w:vAlign w:val="center"/>
          </w:tcPr>
          <w:p w14:paraId="5AC8E40E" w14:textId="3B3DF94F" w:rsidR="009D2CBA" w:rsidRPr="00403F01" w:rsidRDefault="009D2CBA" w:rsidP="00403F01">
            <w:pPr>
              <w:adjustRightInd w:val="0"/>
              <w:snapToGrid w:val="0"/>
              <w:rPr>
                <w:rFonts w:ascii="Palatino Linotype" w:hAnsi="Palatino Linotype" w:cs="Times New Roman"/>
                <w:sz w:val="20"/>
                <w:szCs w:val="24"/>
              </w:rPr>
            </w:pPr>
            <w:r w:rsidRPr="00403F01">
              <w:rPr>
                <w:rFonts w:ascii="Palatino Linotype" w:hAnsi="Palatino Linotype" w:cs="Times New Roman"/>
                <w:sz w:val="20"/>
                <w:szCs w:val="24"/>
              </w:rPr>
              <w:t>Evidence Dossier Presentations &amp; EE scoping</w:t>
            </w:r>
          </w:p>
        </w:tc>
        <w:tc>
          <w:tcPr>
            <w:tcW w:w="1279" w:type="dxa"/>
            <w:vAlign w:val="center"/>
          </w:tcPr>
          <w:p w14:paraId="3461701D" w14:textId="0A843CA6"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In-person workshop</w:t>
            </w:r>
          </w:p>
        </w:tc>
        <w:tc>
          <w:tcPr>
            <w:tcW w:w="1924" w:type="dxa"/>
            <w:vAlign w:val="center"/>
          </w:tcPr>
          <w:p w14:paraId="7E0178D6" w14:textId="2E3DD238"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19 Nov. 2019</w:t>
            </w:r>
          </w:p>
        </w:tc>
        <w:tc>
          <w:tcPr>
            <w:tcW w:w="4296" w:type="dxa"/>
          </w:tcPr>
          <w:p w14:paraId="67E1CF9D" w14:textId="4B7E7B37" w:rsidR="009D2CBA" w:rsidRPr="00403F01" w:rsidRDefault="009D2CBA" w:rsidP="00403F01">
            <w:pPr>
              <w:adjustRightInd w:val="0"/>
              <w:snapToGrid w:val="0"/>
              <w:jc w:val="both"/>
              <w:rPr>
                <w:rFonts w:ascii="Palatino Linotype" w:hAnsi="Palatino Linotype" w:cs="Times New Roman"/>
                <w:sz w:val="20"/>
                <w:szCs w:val="24"/>
              </w:rPr>
            </w:pPr>
            <w:r w:rsidRPr="00403F01">
              <w:rPr>
                <w:rFonts w:ascii="Palatino Linotype" w:hAnsi="Palatino Linotype" w:cs="Times New Roman"/>
                <w:sz w:val="20"/>
                <w:szCs w:val="24"/>
              </w:rPr>
              <w:t>The first day of the workshop was spent presenting the “Evidence Dossier” (in the form of presentations of published and grey literature by subject specialists). This concluded with a EE scoping exercise, involving experts – to determine appropriate scenarios and questions for the elicitation.</w:t>
            </w:r>
          </w:p>
        </w:tc>
      </w:tr>
      <w:tr w:rsidR="009D2CBA" w:rsidRPr="00403F01" w14:paraId="3D08174F" w14:textId="77777777" w:rsidTr="009D2CBA">
        <w:tc>
          <w:tcPr>
            <w:tcW w:w="1517" w:type="dxa"/>
            <w:vAlign w:val="center"/>
          </w:tcPr>
          <w:p w14:paraId="50EA9DC0" w14:textId="260484D9" w:rsidR="009D2CBA" w:rsidRPr="00403F01" w:rsidRDefault="009D2CBA" w:rsidP="00403F01">
            <w:pPr>
              <w:adjustRightInd w:val="0"/>
              <w:snapToGrid w:val="0"/>
              <w:rPr>
                <w:rFonts w:ascii="Palatino Linotype" w:hAnsi="Palatino Linotype" w:cs="Times New Roman"/>
                <w:sz w:val="20"/>
                <w:szCs w:val="24"/>
              </w:rPr>
            </w:pPr>
            <w:r w:rsidRPr="00403F01">
              <w:rPr>
                <w:rFonts w:ascii="Palatino Linotype" w:hAnsi="Palatino Linotype" w:cs="Times New Roman"/>
                <w:sz w:val="20"/>
                <w:szCs w:val="24"/>
              </w:rPr>
              <w:t>Elicitation Workshop (in person)</w:t>
            </w:r>
          </w:p>
        </w:tc>
        <w:tc>
          <w:tcPr>
            <w:tcW w:w="1279" w:type="dxa"/>
            <w:vAlign w:val="center"/>
          </w:tcPr>
          <w:p w14:paraId="1A59B831" w14:textId="2F9A6629"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In-person workshop</w:t>
            </w:r>
          </w:p>
        </w:tc>
        <w:tc>
          <w:tcPr>
            <w:tcW w:w="1924" w:type="dxa"/>
            <w:vAlign w:val="center"/>
          </w:tcPr>
          <w:p w14:paraId="3898F1DE" w14:textId="73EF9DD3" w:rsidR="009D2CBA" w:rsidRPr="00403F01" w:rsidRDefault="009D2CBA" w:rsidP="00403F01">
            <w:pPr>
              <w:adjustRightInd w:val="0"/>
              <w:snapToGrid w:val="0"/>
              <w:jc w:val="center"/>
              <w:rPr>
                <w:rFonts w:ascii="Palatino Linotype" w:hAnsi="Palatino Linotype" w:cs="Times New Roman"/>
                <w:sz w:val="20"/>
                <w:szCs w:val="24"/>
              </w:rPr>
            </w:pPr>
            <w:r w:rsidRPr="00403F01">
              <w:rPr>
                <w:rFonts w:ascii="Palatino Linotype" w:hAnsi="Palatino Linotype" w:cs="Times New Roman"/>
                <w:sz w:val="20"/>
                <w:szCs w:val="24"/>
              </w:rPr>
              <w:t>20 &amp; 21 Nov</w:t>
            </w:r>
            <w:r w:rsidR="00403F01">
              <w:rPr>
                <w:rFonts w:ascii="Palatino Linotype" w:hAnsi="Palatino Linotype" w:cs="Times New Roman"/>
                <w:sz w:val="20"/>
                <w:szCs w:val="24"/>
              </w:rPr>
              <w:t>.</w:t>
            </w:r>
            <w:r w:rsidRPr="00403F01">
              <w:rPr>
                <w:rFonts w:ascii="Palatino Linotype" w:hAnsi="Palatino Linotype" w:cs="Times New Roman"/>
                <w:sz w:val="20"/>
                <w:szCs w:val="24"/>
              </w:rPr>
              <w:t xml:space="preserve"> 2019</w:t>
            </w:r>
          </w:p>
        </w:tc>
        <w:tc>
          <w:tcPr>
            <w:tcW w:w="4296" w:type="dxa"/>
          </w:tcPr>
          <w:p w14:paraId="53B2A7FD" w14:textId="0D33B80E" w:rsidR="009D2CBA" w:rsidRPr="00403F01" w:rsidRDefault="009D2CBA" w:rsidP="00403F01">
            <w:pPr>
              <w:adjustRightInd w:val="0"/>
              <w:snapToGrid w:val="0"/>
              <w:jc w:val="both"/>
              <w:rPr>
                <w:rFonts w:ascii="Palatino Linotype" w:hAnsi="Palatino Linotype" w:cs="Times New Roman"/>
                <w:sz w:val="20"/>
                <w:szCs w:val="24"/>
              </w:rPr>
            </w:pPr>
            <w:r w:rsidRPr="00403F01">
              <w:rPr>
                <w:rFonts w:ascii="Palatino Linotype" w:hAnsi="Palatino Linotype" w:cs="Times New Roman"/>
                <w:sz w:val="20"/>
                <w:szCs w:val="24"/>
              </w:rPr>
              <w:t>A formal expert elicitation for the three scenarios and dose response function shape.</w:t>
            </w:r>
          </w:p>
        </w:tc>
      </w:tr>
    </w:tbl>
    <w:p w14:paraId="3E3CE4B5" w14:textId="77777777" w:rsidR="00E47C9C" w:rsidRDefault="00E47C9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1F3585C9" w14:textId="61741B01" w:rsidR="003A1410" w:rsidRPr="00403F01" w:rsidRDefault="003A1410" w:rsidP="003A1410">
      <w:pPr>
        <w:autoSpaceDE w:val="0"/>
        <w:autoSpaceDN w:val="0"/>
        <w:adjustRightInd w:val="0"/>
        <w:spacing w:after="0" w:line="240" w:lineRule="auto"/>
        <w:contextualSpacing/>
        <w:jc w:val="both"/>
        <w:rPr>
          <w:rFonts w:ascii="Palatino Linotype" w:eastAsia="Times New Roman" w:hAnsi="Palatino Linotype" w:cs="Times New Roman"/>
          <w:b/>
          <w:bCs/>
          <w:i/>
          <w:sz w:val="20"/>
          <w:szCs w:val="24"/>
        </w:rPr>
      </w:pPr>
      <w:r w:rsidRPr="00403F01">
        <w:rPr>
          <w:rFonts w:ascii="Palatino Linotype" w:eastAsia="Times New Roman" w:hAnsi="Palatino Linotype" w:cs="Times New Roman"/>
          <w:b/>
          <w:bCs/>
          <w:i/>
          <w:sz w:val="20"/>
          <w:szCs w:val="24"/>
        </w:rPr>
        <w:lastRenderedPageBreak/>
        <w:t xml:space="preserve">Supplemental </w:t>
      </w:r>
      <w:r w:rsidR="00122470" w:rsidRPr="00403F01">
        <w:rPr>
          <w:rFonts w:ascii="Palatino Linotype" w:eastAsia="Times New Roman" w:hAnsi="Palatino Linotype" w:cs="Times New Roman"/>
          <w:b/>
          <w:bCs/>
          <w:i/>
          <w:sz w:val="20"/>
          <w:szCs w:val="24"/>
        </w:rPr>
        <w:t>figures</w:t>
      </w:r>
    </w:p>
    <w:p w14:paraId="169473D8" w14:textId="77777777" w:rsidR="003A1410" w:rsidRDefault="003A1410" w:rsidP="003A1410">
      <w:pPr>
        <w:autoSpaceDE w:val="0"/>
        <w:autoSpaceDN w:val="0"/>
        <w:adjustRightInd w:val="0"/>
        <w:spacing w:after="0" w:line="240" w:lineRule="auto"/>
        <w:contextualSpacing/>
        <w:jc w:val="both"/>
        <w:rPr>
          <w:rFonts w:ascii="Times New Roman" w:eastAsia="Times New Roman" w:hAnsi="Times New Roman" w:cs="Times New Roman"/>
          <w:b/>
          <w:bCs/>
          <w:sz w:val="24"/>
          <w:szCs w:val="24"/>
        </w:rPr>
      </w:pPr>
    </w:p>
    <w:p w14:paraId="5A530006" w14:textId="3391B581" w:rsidR="00122470" w:rsidRPr="000F24CC" w:rsidRDefault="004643B2" w:rsidP="004643B2">
      <w:pPr>
        <w:autoSpaceDE w:val="0"/>
        <w:autoSpaceDN w:val="0"/>
        <w:adjustRightInd w:val="0"/>
        <w:spacing w:after="0" w:line="240" w:lineRule="auto"/>
        <w:contextualSpacing/>
        <w:jc w:val="center"/>
        <w:rPr>
          <w:rFonts w:ascii="Times New Roman" w:hAnsi="Times New Roman" w:cs="Times New Roman"/>
          <w:sz w:val="24"/>
          <w:szCs w:val="24"/>
        </w:rPr>
      </w:pPr>
      <w:r w:rsidRPr="007C2CE1">
        <w:rPr>
          <w:rFonts w:cs="Times New Roman"/>
          <w:noProof/>
          <w:sz w:val="24"/>
          <w:szCs w:val="24"/>
          <w:lang w:val="en-US" w:eastAsia="zh-CN"/>
        </w:rPr>
        <mc:AlternateContent>
          <mc:Choice Requires="wps">
            <w:drawing>
              <wp:anchor distT="45720" distB="45720" distL="114300" distR="114300" simplePos="0" relativeHeight="251659264" behindDoc="0" locked="0" layoutInCell="1" allowOverlap="1" wp14:anchorId="0EC3DD3E" wp14:editId="5AEAA7A3">
                <wp:simplePos x="0" y="0"/>
                <wp:positionH relativeFrom="column">
                  <wp:posOffset>4423355</wp:posOffset>
                </wp:positionH>
                <wp:positionV relativeFrom="paragraph">
                  <wp:posOffset>90777</wp:posOffset>
                </wp:positionV>
                <wp:extent cx="5143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1404620"/>
                        </a:xfrm>
                        <a:prstGeom prst="rect">
                          <a:avLst/>
                        </a:prstGeom>
                        <a:noFill/>
                        <a:ln w="9525">
                          <a:noFill/>
                          <a:miter lim="800000"/>
                          <a:headEnd/>
                          <a:tailEnd/>
                        </a:ln>
                      </wps:spPr>
                      <wps:txbx>
                        <w:txbxContent>
                          <w:p w14:paraId="654AFA27" w14:textId="2AD56BB0" w:rsidR="007C2CE1" w:rsidRPr="007C2CE1" w:rsidRDefault="007C2CE1">
                            <w:pPr>
                              <w:rPr>
                                <w:b/>
                                <w:bCs/>
                              </w:rPr>
                            </w:pPr>
                            <w:r>
                              <w:rPr>
                                <w:b/>
                                <w:bCs/>
                              </w:rPr>
                              <w:t>1</w:t>
                            </w:r>
                            <w:r w:rsidRPr="007C2CE1">
                              <w:rPr>
                                <w:b/>
                                <w:bCs/>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C3DD3E" id="_x0000_t202" coordsize="21600,21600" o:spt="202" path="m,l,21600r21600,l21600,xe">
                <v:stroke joinstyle="miter"/>
                <v:path gradientshapeok="t" o:connecttype="rect"/>
              </v:shapetype>
              <v:shape id="Text Box 2" o:spid="_x0000_s1026" type="#_x0000_t202" style="position:absolute;left:0;text-align:left;margin-left:348.3pt;margin-top:7.15pt;width:4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" filled="f" stroked="f">
                <v:textbox style="mso-fit-shape-to-text:t">
                  <w:txbxContent>
                    <w:p w14:paraId="654AFA27" w14:textId="2AD56BB0" w:rsidR="007C2CE1" w:rsidRPr="007C2CE1" w:rsidRDefault="007C2CE1">
                      <w:pPr>
                        <w:rPr>
                          <w:b/>
                          <w:bCs/>
                        </w:rPr>
                      </w:pPr>
                      <w:r>
                        <w:rPr>
                          <w:b/>
                          <w:bCs/>
                        </w:rPr>
                        <w:t>1</w:t>
                      </w:r>
                      <w:r w:rsidRPr="007C2CE1">
                        <w:rPr>
                          <w:b/>
                          <w:bCs/>
                        </w:rPr>
                        <w:t>A)</w:t>
                      </w:r>
                    </w:p>
                  </w:txbxContent>
                </v:textbox>
              </v:shape>
            </w:pict>
          </mc:Fallback>
        </mc:AlternateContent>
      </w:r>
      <w:r w:rsidRPr="007C2CE1">
        <w:rPr>
          <w:rFonts w:cs="Times New Roman"/>
          <w:noProof/>
          <w:sz w:val="24"/>
          <w:szCs w:val="24"/>
          <w:lang w:val="en-US" w:eastAsia="zh-CN"/>
        </w:rPr>
        <mc:AlternateContent>
          <mc:Choice Requires="wps">
            <w:drawing>
              <wp:anchor distT="45720" distB="45720" distL="114300" distR="114300" simplePos="0" relativeHeight="251661312" behindDoc="0" locked="0" layoutInCell="1" allowOverlap="1" wp14:anchorId="71A2F8A2" wp14:editId="4E85B770">
                <wp:simplePos x="0" y="0"/>
                <wp:positionH relativeFrom="column">
                  <wp:posOffset>4418882</wp:posOffset>
                </wp:positionH>
                <wp:positionV relativeFrom="paragraph">
                  <wp:posOffset>2210048</wp:posOffset>
                </wp:positionV>
                <wp:extent cx="514350"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1404620"/>
                        </a:xfrm>
                        <a:prstGeom prst="rect">
                          <a:avLst/>
                        </a:prstGeom>
                        <a:noFill/>
                        <a:ln w="9525">
                          <a:noFill/>
                          <a:miter lim="800000"/>
                          <a:headEnd/>
                          <a:tailEnd/>
                        </a:ln>
                      </wps:spPr>
                      <wps:txbx>
                        <w:txbxContent>
                          <w:p w14:paraId="52F2E8A1" w14:textId="589109F1" w:rsidR="007C2CE1" w:rsidRPr="007C2CE1" w:rsidRDefault="007C2CE1" w:rsidP="007C2CE1">
                            <w:pPr>
                              <w:rPr>
                                <w:b/>
                                <w:bCs/>
                              </w:rPr>
                            </w:pPr>
                            <w:r>
                              <w:rPr>
                                <w:b/>
                                <w:bCs/>
                              </w:rPr>
                              <w:t>1B</w:t>
                            </w:r>
                            <w:r w:rsidRPr="007C2CE1">
                              <w:rPr>
                                <w:b/>
                                <w:bC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A2F8A2" id="_x0000_s1027" type="#_x0000_t202" style="position:absolute;left:0;text-align:left;margin-left:347.95pt;margin-top:174pt;width:40.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" filled="f" stroked="f">
                <v:textbox style="mso-fit-shape-to-text:t">
                  <w:txbxContent>
                    <w:p w14:paraId="52F2E8A1" w14:textId="589109F1" w:rsidR="007C2CE1" w:rsidRPr="007C2CE1" w:rsidRDefault="007C2CE1" w:rsidP="007C2CE1">
                      <w:pPr>
                        <w:rPr>
                          <w:b/>
                          <w:bCs/>
                        </w:rPr>
                      </w:pPr>
                      <w:r>
                        <w:rPr>
                          <w:b/>
                          <w:bCs/>
                        </w:rPr>
                        <w:t>1B</w:t>
                      </w:r>
                      <w:r w:rsidRPr="007C2CE1">
                        <w:rPr>
                          <w:b/>
                          <w:bCs/>
                        </w:rPr>
                        <w:t>)</w:t>
                      </w:r>
                    </w:p>
                  </w:txbxContent>
                </v:textbox>
              </v:shape>
            </w:pict>
          </mc:Fallback>
        </mc:AlternateContent>
      </w:r>
      <w:r w:rsidR="00122470" w:rsidRPr="000F24CC">
        <w:rPr>
          <w:rFonts w:ascii="Times New Roman" w:hAnsi="Times New Roman" w:cs="Times New Roman"/>
          <w:noProof/>
          <w:sz w:val="24"/>
          <w:szCs w:val="24"/>
          <w:lang w:val="en-US" w:eastAsia="zh-CN"/>
        </w:rPr>
        <w:drawing>
          <wp:inline distT="0" distB="0" distL="0" distR="0" wp14:anchorId="3C20CAA6" wp14:editId="6F7F91D7">
            <wp:extent cx="4384380" cy="473897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87957" cy="4742844"/>
                    </a:xfrm>
                    <a:prstGeom prst="rect">
                      <a:avLst/>
                    </a:prstGeom>
                  </pic:spPr>
                </pic:pic>
              </a:graphicData>
            </a:graphic>
          </wp:inline>
        </w:drawing>
      </w:r>
    </w:p>
    <w:p w14:paraId="3D34D453" w14:textId="42139447" w:rsidR="00122470" w:rsidRPr="00403F01" w:rsidRDefault="00122470" w:rsidP="004643B2">
      <w:pPr>
        <w:pStyle w:val="Caption"/>
        <w:adjustRightInd w:val="0"/>
        <w:snapToGrid w:val="0"/>
        <w:ind w:left="283" w:right="283"/>
        <w:jc w:val="both"/>
        <w:rPr>
          <w:rFonts w:ascii="Palatino Linotype" w:hAnsi="Palatino Linotype" w:cs="Times New Roman"/>
          <w:i w:val="0"/>
          <w:color w:val="auto"/>
          <w:sz w:val="20"/>
          <w:szCs w:val="24"/>
        </w:rPr>
      </w:pPr>
      <w:r w:rsidRPr="00403F01">
        <w:rPr>
          <w:rFonts w:ascii="Palatino Linotype" w:hAnsi="Palatino Linotype" w:cs="Times New Roman"/>
          <w:b/>
          <w:i w:val="0"/>
          <w:color w:val="auto"/>
          <w:sz w:val="20"/>
          <w:szCs w:val="24"/>
        </w:rPr>
        <w:t xml:space="preserve">Figure </w:t>
      </w:r>
      <w:r w:rsidR="007C2CE1" w:rsidRPr="00403F01">
        <w:rPr>
          <w:rFonts w:ascii="Palatino Linotype" w:hAnsi="Palatino Linotype" w:cs="Times New Roman"/>
          <w:b/>
          <w:i w:val="0"/>
          <w:color w:val="auto"/>
          <w:sz w:val="20"/>
          <w:szCs w:val="24"/>
        </w:rPr>
        <w:t>S</w:t>
      </w:r>
      <w:r w:rsidRPr="00403F01">
        <w:rPr>
          <w:rFonts w:ascii="Palatino Linotype" w:hAnsi="Palatino Linotype" w:cs="Times New Roman"/>
          <w:b/>
          <w:i w:val="0"/>
          <w:color w:val="auto"/>
          <w:sz w:val="20"/>
          <w:szCs w:val="24"/>
        </w:rPr>
        <w:fldChar w:fldCharType="begin"/>
      </w:r>
      <w:r w:rsidRPr="00403F01">
        <w:rPr>
          <w:rFonts w:ascii="Palatino Linotype" w:hAnsi="Palatino Linotype" w:cs="Times New Roman"/>
          <w:b/>
          <w:i w:val="0"/>
          <w:color w:val="auto"/>
          <w:sz w:val="20"/>
          <w:szCs w:val="24"/>
        </w:rPr>
        <w:instrText xml:space="preserve"> SEQ Figure \* ARABIC </w:instrText>
      </w:r>
      <w:r w:rsidRPr="00403F01">
        <w:rPr>
          <w:rFonts w:ascii="Palatino Linotype" w:hAnsi="Palatino Linotype" w:cs="Times New Roman"/>
          <w:b/>
          <w:i w:val="0"/>
          <w:color w:val="auto"/>
          <w:sz w:val="20"/>
          <w:szCs w:val="24"/>
        </w:rPr>
        <w:fldChar w:fldCharType="separate"/>
      </w:r>
      <w:r w:rsidR="007C2CE1" w:rsidRPr="00403F01">
        <w:rPr>
          <w:rFonts w:ascii="Palatino Linotype" w:hAnsi="Palatino Linotype" w:cs="Times New Roman"/>
          <w:b/>
          <w:i w:val="0"/>
          <w:noProof/>
          <w:color w:val="auto"/>
          <w:sz w:val="20"/>
          <w:szCs w:val="24"/>
        </w:rPr>
        <w:t>1</w:t>
      </w:r>
      <w:r w:rsidRPr="00403F01">
        <w:rPr>
          <w:rFonts w:ascii="Palatino Linotype" w:hAnsi="Palatino Linotype" w:cs="Times New Roman"/>
          <w:b/>
          <w:i w:val="0"/>
          <w:noProof/>
          <w:color w:val="auto"/>
          <w:sz w:val="20"/>
          <w:szCs w:val="24"/>
        </w:rPr>
        <w:fldChar w:fldCharType="end"/>
      </w:r>
      <w:r w:rsidR="00403F01" w:rsidRPr="00403F01">
        <w:rPr>
          <w:rFonts w:ascii="Palatino Linotype" w:hAnsi="Palatino Linotype" w:cs="Times New Roman"/>
          <w:b/>
          <w:i w:val="0"/>
          <w:noProof/>
          <w:color w:val="auto"/>
          <w:sz w:val="20"/>
          <w:szCs w:val="24"/>
        </w:rPr>
        <w:t>.</w:t>
      </w:r>
      <w:r w:rsidRPr="00403F01">
        <w:rPr>
          <w:rFonts w:ascii="Palatino Linotype" w:hAnsi="Palatino Linotype" w:cs="Times New Roman"/>
          <w:i w:val="0"/>
          <w:color w:val="auto"/>
          <w:sz w:val="20"/>
          <w:szCs w:val="24"/>
        </w:rPr>
        <w:t xml:space="preserve"> </w:t>
      </w:r>
      <w:r w:rsidR="007C2CE1" w:rsidRPr="00403F01">
        <w:rPr>
          <w:rFonts w:ascii="Palatino Linotype" w:hAnsi="Palatino Linotype" w:cs="Times New Roman"/>
          <w:i w:val="0"/>
          <w:color w:val="auto"/>
          <w:sz w:val="20"/>
          <w:szCs w:val="24"/>
        </w:rPr>
        <w:t>Outputs of the dose response functions for scenarios 1A and 1B. Figure shows the first 100 realizations</w:t>
      </w:r>
      <w:r w:rsidR="00E47C9C" w:rsidRPr="00403F01">
        <w:rPr>
          <w:rFonts w:ascii="Palatino Linotype" w:hAnsi="Palatino Linotype" w:cs="Times New Roman"/>
          <w:i w:val="0"/>
          <w:color w:val="auto"/>
          <w:sz w:val="20"/>
          <w:szCs w:val="24"/>
        </w:rPr>
        <w:t xml:space="preserve"> from dose response in Figure 3</w:t>
      </w:r>
      <w:r w:rsidR="007C2CE1" w:rsidRPr="00403F01">
        <w:rPr>
          <w:rFonts w:ascii="Palatino Linotype" w:hAnsi="Palatino Linotype" w:cs="Times New Roman"/>
          <w:i w:val="0"/>
          <w:color w:val="auto"/>
          <w:sz w:val="20"/>
          <w:szCs w:val="24"/>
        </w:rPr>
        <w:t>, demonstrating the range of shapes produced.</w:t>
      </w:r>
    </w:p>
    <w:p w14:paraId="2EC24E71" w14:textId="2122C0DC" w:rsidR="00122470" w:rsidRPr="000F24CC" w:rsidRDefault="00122470" w:rsidP="004643B2">
      <w:pPr>
        <w:keepNext/>
        <w:spacing w:before="480" w:after="120"/>
        <w:jc w:val="center"/>
        <w:rPr>
          <w:rFonts w:ascii="Times New Roman" w:hAnsi="Times New Roman" w:cs="Times New Roman"/>
          <w:sz w:val="24"/>
          <w:szCs w:val="24"/>
        </w:rPr>
      </w:pPr>
      <w:r w:rsidRPr="000F24CC">
        <w:rPr>
          <w:rFonts w:ascii="Times New Roman" w:hAnsi="Times New Roman" w:cs="Times New Roman"/>
          <w:noProof/>
          <w:sz w:val="24"/>
          <w:szCs w:val="24"/>
          <w:lang w:val="en-US" w:eastAsia="zh-CN"/>
        </w:rPr>
        <w:drawing>
          <wp:inline distT="0" distB="0" distL="0" distR="0" wp14:anchorId="30DF1927" wp14:editId="1A81CB51">
            <wp:extent cx="4134678" cy="25217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43277" cy="2527003"/>
                    </a:xfrm>
                    <a:prstGeom prst="rect">
                      <a:avLst/>
                    </a:prstGeom>
                  </pic:spPr>
                </pic:pic>
              </a:graphicData>
            </a:graphic>
          </wp:inline>
        </w:drawing>
      </w:r>
    </w:p>
    <w:p w14:paraId="1BA9C0B7" w14:textId="18931EE1" w:rsidR="00122470" w:rsidRPr="004643B2" w:rsidRDefault="00122470" w:rsidP="004643B2">
      <w:pPr>
        <w:pStyle w:val="Caption"/>
        <w:adjustRightInd w:val="0"/>
        <w:snapToGrid w:val="0"/>
        <w:ind w:left="397" w:right="397"/>
        <w:jc w:val="both"/>
        <w:rPr>
          <w:rFonts w:ascii="Palatino Linotype" w:hAnsi="Palatino Linotype" w:cs="Times New Roman"/>
          <w:i w:val="0"/>
          <w:color w:val="auto"/>
          <w:sz w:val="20"/>
          <w:szCs w:val="24"/>
        </w:rPr>
      </w:pPr>
      <w:r w:rsidRPr="00403F01">
        <w:rPr>
          <w:rFonts w:ascii="Palatino Linotype" w:hAnsi="Palatino Linotype" w:cs="Times New Roman"/>
          <w:b/>
          <w:i w:val="0"/>
          <w:color w:val="auto"/>
          <w:sz w:val="20"/>
          <w:szCs w:val="24"/>
        </w:rPr>
        <w:t xml:space="preserve">Figure </w:t>
      </w:r>
      <w:r w:rsidR="007C2CE1" w:rsidRPr="00403F01">
        <w:rPr>
          <w:rFonts w:ascii="Palatino Linotype" w:hAnsi="Palatino Linotype" w:cs="Times New Roman"/>
          <w:b/>
          <w:i w:val="0"/>
          <w:color w:val="auto"/>
          <w:sz w:val="20"/>
          <w:szCs w:val="24"/>
        </w:rPr>
        <w:t>S</w:t>
      </w:r>
      <w:r w:rsidRPr="00403F01">
        <w:rPr>
          <w:rFonts w:ascii="Palatino Linotype" w:hAnsi="Palatino Linotype" w:cs="Times New Roman"/>
          <w:b/>
          <w:i w:val="0"/>
          <w:color w:val="auto"/>
          <w:sz w:val="20"/>
          <w:szCs w:val="24"/>
        </w:rPr>
        <w:fldChar w:fldCharType="begin"/>
      </w:r>
      <w:r w:rsidRPr="00403F01">
        <w:rPr>
          <w:rFonts w:ascii="Palatino Linotype" w:hAnsi="Palatino Linotype" w:cs="Times New Roman"/>
          <w:b/>
          <w:i w:val="0"/>
          <w:color w:val="auto"/>
          <w:sz w:val="20"/>
          <w:szCs w:val="24"/>
        </w:rPr>
        <w:instrText xml:space="preserve"> SEQ Figure \* ARABIC </w:instrText>
      </w:r>
      <w:r w:rsidRPr="00403F01">
        <w:rPr>
          <w:rFonts w:ascii="Palatino Linotype" w:hAnsi="Palatino Linotype" w:cs="Times New Roman"/>
          <w:b/>
          <w:i w:val="0"/>
          <w:color w:val="auto"/>
          <w:sz w:val="20"/>
          <w:szCs w:val="24"/>
        </w:rPr>
        <w:fldChar w:fldCharType="separate"/>
      </w:r>
      <w:r w:rsidR="007C2CE1" w:rsidRPr="00403F01">
        <w:rPr>
          <w:rFonts w:ascii="Palatino Linotype" w:hAnsi="Palatino Linotype" w:cs="Times New Roman"/>
          <w:b/>
          <w:i w:val="0"/>
          <w:noProof/>
          <w:color w:val="auto"/>
          <w:sz w:val="20"/>
          <w:szCs w:val="24"/>
        </w:rPr>
        <w:t>2</w:t>
      </w:r>
      <w:r w:rsidRPr="00403F01">
        <w:rPr>
          <w:rFonts w:ascii="Palatino Linotype" w:hAnsi="Palatino Linotype" w:cs="Times New Roman"/>
          <w:b/>
          <w:i w:val="0"/>
          <w:noProof/>
          <w:color w:val="auto"/>
          <w:sz w:val="20"/>
          <w:szCs w:val="24"/>
        </w:rPr>
        <w:fldChar w:fldCharType="end"/>
      </w:r>
      <w:r w:rsidR="00403F01" w:rsidRPr="00403F01">
        <w:rPr>
          <w:rFonts w:ascii="Palatino Linotype" w:hAnsi="Palatino Linotype" w:cs="Times New Roman"/>
          <w:b/>
          <w:i w:val="0"/>
          <w:noProof/>
          <w:color w:val="auto"/>
          <w:sz w:val="20"/>
          <w:szCs w:val="24"/>
        </w:rPr>
        <w:t>.</w:t>
      </w:r>
      <w:r w:rsidRPr="00403F01">
        <w:rPr>
          <w:rFonts w:ascii="Palatino Linotype" w:hAnsi="Palatino Linotype" w:cs="Times New Roman"/>
          <w:i w:val="0"/>
          <w:color w:val="auto"/>
          <w:sz w:val="20"/>
          <w:szCs w:val="24"/>
        </w:rPr>
        <w:t xml:space="preserve"> </w:t>
      </w:r>
      <w:r w:rsidR="007C2CE1" w:rsidRPr="00403F01">
        <w:rPr>
          <w:rFonts w:ascii="Palatino Linotype" w:hAnsi="Palatino Linotype" w:cs="Times New Roman"/>
          <w:i w:val="0"/>
          <w:color w:val="auto"/>
          <w:sz w:val="20"/>
          <w:szCs w:val="24"/>
        </w:rPr>
        <w:t>Outputs of the dose response functions for scenario 2. Figure shows the first 100 realizations</w:t>
      </w:r>
      <w:r w:rsidR="00E47C9C" w:rsidRPr="00403F01">
        <w:rPr>
          <w:rFonts w:ascii="Palatino Linotype" w:hAnsi="Palatino Linotype" w:cs="Times New Roman"/>
          <w:i w:val="0"/>
          <w:color w:val="auto"/>
          <w:sz w:val="20"/>
          <w:szCs w:val="24"/>
        </w:rPr>
        <w:t xml:space="preserve"> from dose response in Figure 3</w:t>
      </w:r>
      <w:r w:rsidR="007C2CE1" w:rsidRPr="00403F01">
        <w:rPr>
          <w:rFonts w:ascii="Palatino Linotype" w:hAnsi="Palatino Linotype" w:cs="Times New Roman"/>
          <w:i w:val="0"/>
          <w:color w:val="auto"/>
          <w:sz w:val="20"/>
          <w:szCs w:val="24"/>
        </w:rPr>
        <w:t>, demonstrating the range of shapes</w:t>
      </w:r>
      <w:r w:rsidR="00E47C9C" w:rsidRPr="00403F01">
        <w:rPr>
          <w:rFonts w:ascii="Palatino Linotype" w:hAnsi="Palatino Linotype" w:cs="Times New Roman"/>
          <w:i w:val="0"/>
          <w:color w:val="auto"/>
          <w:sz w:val="20"/>
          <w:szCs w:val="24"/>
        </w:rPr>
        <w:t xml:space="preserve"> (note x-axis is different from Figure S1)</w:t>
      </w:r>
      <w:r w:rsidR="007C2CE1" w:rsidRPr="00403F01">
        <w:rPr>
          <w:rFonts w:ascii="Palatino Linotype" w:hAnsi="Palatino Linotype" w:cs="Times New Roman"/>
          <w:i w:val="0"/>
          <w:color w:val="auto"/>
          <w:sz w:val="20"/>
          <w:szCs w:val="24"/>
        </w:rPr>
        <w:t xml:space="preserve">. </w:t>
      </w:r>
    </w:p>
    <w:sectPr w:rsidR="00122470" w:rsidRPr="004643B2" w:rsidSect="00A16F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85E4E"/>
    <w:multiLevelType w:val="hybridMultilevel"/>
    <w:tmpl w:val="53F2DC0C"/>
    <w:lvl w:ilvl="0" w:tplc="460CABAC">
      <w:start w:val="1"/>
      <w:numFmt w:val="bullet"/>
      <w:lvlText w:val="•"/>
      <w:lvlJc w:val="left"/>
      <w:pPr>
        <w:tabs>
          <w:tab w:val="num" w:pos="720"/>
        </w:tabs>
        <w:ind w:left="720" w:hanging="360"/>
      </w:pPr>
      <w:rPr>
        <w:rFonts w:ascii="Arial" w:hAnsi="Arial" w:hint="default"/>
      </w:rPr>
    </w:lvl>
    <w:lvl w:ilvl="1" w:tplc="905EF5CA" w:tentative="1">
      <w:start w:val="1"/>
      <w:numFmt w:val="bullet"/>
      <w:lvlText w:val="•"/>
      <w:lvlJc w:val="left"/>
      <w:pPr>
        <w:tabs>
          <w:tab w:val="num" w:pos="1440"/>
        </w:tabs>
        <w:ind w:left="1440" w:hanging="360"/>
      </w:pPr>
      <w:rPr>
        <w:rFonts w:ascii="Arial" w:hAnsi="Arial" w:hint="default"/>
      </w:rPr>
    </w:lvl>
    <w:lvl w:ilvl="2" w:tplc="F30CC164" w:tentative="1">
      <w:start w:val="1"/>
      <w:numFmt w:val="bullet"/>
      <w:lvlText w:val="•"/>
      <w:lvlJc w:val="left"/>
      <w:pPr>
        <w:tabs>
          <w:tab w:val="num" w:pos="2160"/>
        </w:tabs>
        <w:ind w:left="2160" w:hanging="360"/>
      </w:pPr>
      <w:rPr>
        <w:rFonts w:ascii="Arial" w:hAnsi="Arial" w:hint="default"/>
      </w:rPr>
    </w:lvl>
    <w:lvl w:ilvl="3" w:tplc="A2AAD58A" w:tentative="1">
      <w:start w:val="1"/>
      <w:numFmt w:val="bullet"/>
      <w:lvlText w:val="•"/>
      <w:lvlJc w:val="left"/>
      <w:pPr>
        <w:tabs>
          <w:tab w:val="num" w:pos="2880"/>
        </w:tabs>
        <w:ind w:left="2880" w:hanging="360"/>
      </w:pPr>
      <w:rPr>
        <w:rFonts w:ascii="Arial" w:hAnsi="Arial" w:hint="default"/>
      </w:rPr>
    </w:lvl>
    <w:lvl w:ilvl="4" w:tplc="C44ADA34" w:tentative="1">
      <w:start w:val="1"/>
      <w:numFmt w:val="bullet"/>
      <w:lvlText w:val="•"/>
      <w:lvlJc w:val="left"/>
      <w:pPr>
        <w:tabs>
          <w:tab w:val="num" w:pos="3600"/>
        </w:tabs>
        <w:ind w:left="3600" w:hanging="360"/>
      </w:pPr>
      <w:rPr>
        <w:rFonts w:ascii="Arial" w:hAnsi="Arial" w:hint="default"/>
      </w:rPr>
    </w:lvl>
    <w:lvl w:ilvl="5" w:tplc="7F44C5AC" w:tentative="1">
      <w:start w:val="1"/>
      <w:numFmt w:val="bullet"/>
      <w:lvlText w:val="•"/>
      <w:lvlJc w:val="left"/>
      <w:pPr>
        <w:tabs>
          <w:tab w:val="num" w:pos="4320"/>
        </w:tabs>
        <w:ind w:left="4320" w:hanging="360"/>
      </w:pPr>
      <w:rPr>
        <w:rFonts w:ascii="Arial" w:hAnsi="Arial" w:hint="default"/>
      </w:rPr>
    </w:lvl>
    <w:lvl w:ilvl="6" w:tplc="13BED2F0" w:tentative="1">
      <w:start w:val="1"/>
      <w:numFmt w:val="bullet"/>
      <w:lvlText w:val="•"/>
      <w:lvlJc w:val="left"/>
      <w:pPr>
        <w:tabs>
          <w:tab w:val="num" w:pos="5040"/>
        </w:tabs>
        <w:ind w:left="5040" w:hanging="360"/>
      </w:pPr>
      <w:rPr>
        <w:rFonts w:ascii="Arial" w:hAnsi="Arial" w:hint="default"/>
      </w:rPr>
    </w:lvl>
    <w:lvl w:ilvl="7" w:tplc="F05C7B9A" w:tentative="1">
      <w:start w:val="1"/>
      <w:numFmt w:val="bullet"/>
      <w:lvlText w:val="•"/>
      <w:lvlJc w:val="left"/>
      <w:pPr>
        <w:tabs>
          <w:tab w:val="num" w:pos="5760"/>
        </w:tabs>
        <w:ind w:left="5760" w:hanging="360"/>
      </w:pPr>
      <w:rPr>
        <w:rFonts w:ascii="Arial" w:hAnsi="Arial" w:hint="default"/>
      </w:rPr>
    </w:lvl>
    <w:lvl w:ilvl="8" w:tplc="47D41A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3B24D52"/>
    <w:multiLevelType w:val="hybridMultilevel"/>
    <w:tmpl w:val="3A82F674"/>
    <w:lvl w:ilvl="0" w:tplc="832CC736">
      <w:start w:val="1"/>
      <w:numFmt w:val="bullet"/>
      <w:lvlText w:val="•"/>
      <w:lvlJc w:val="left"/>
      <w:pPr>
        <w:tabs>
          <w:tab w:val="num" w:pos="720"/>
        </w:tabs>
        <w:ind w:left="720" w:hanging="360"/>
      </w:pPr>
      <w:rPr>
        <w:rFonts w:ascii="Arial" w:hAnsi="Arial" w:hint="default"/>
      </w:rPr>
    </w:lvl>
    <w:lvl w:ilvl="1" w:tplc="0FB29D82">
      <w:numFmt w:val="none"/>
      <w:lvlText w:val=""/>
      <w:lvlJc w:val="left"/>
      <w:pPr>
        <w:tabs>
          <w:tab w:val="num" w:pos="360"/>
        </w:tabs>
      </w:pPr>
    </w:lvl>
    <w:lvl w:ilvl="2" w:tplc="028ABEB6" w:tentative="1">
      <w:start w:val="1"/>
      <w:numFmt w:val="bullet"/>
      <w:lvlText w:val="•"/>
      <w:lvlJc w:val="left"/>
      <w:pPr>
        <w:tabs>
          <w:tab w:val="num" w:pos="2160"/>
        </w:tabs>
        <w:ind w:left="2160" w:hanging="360"/>
      </w:pPr>
      <w:rPr>
        <w:rFonts w:ascii="Arial" w:hAnsi="Arial" w:hint="default"/>
      </w:rPr>
    </w:lvl>
    <w:lvl w:ilvl="3" w:tplc="EC46D088" w:tentative="1">
      <w:start w:val="1"/>
      <w:numFmt w:val="bullet"/>
      <w:lvlText w:val="•"/>
      <w:lvlJc w:val="left"/>
      <w:pPr>
        <w:tabs>
          <w:tab w:val="num" w:pos="2880"/>
        </w:tabs>
        <w:ind w:left="2880" w:hanging="360"/>
      </w:pPr>
      <w:rPr>
        <w:rFonts w:ascii="Arial" w:hAnsi="Arial" w:hint="default"/>
      </w:rPr>
    </w:lvl>
    <w:lvl w:ilvl="4" w:tplc="AB00BA8E" w:tentative="1">
      <w:start w:val="1"/>
      <w:numFmt w:val="bullet"/>
      <w:lvlText w:val="•"/>
      <w:lvlJc w:val="left"/>
      <w:pPr>
        <w:tabs>
          <w:tab w:val="num" w:pos="3600"/>
        </w:tabs>
        <w:ind w:left="3600" w:hanging="360"/>
      </w:pPr>
      <w:rPr>
        <w:rFonts w:ascii="Arial" w:hAnsi="Arial" w:hint="default"/>
      </w:rPr>
    </w:lvl>
    <w:lvl w:ilvl="5" w:tplc="8AB013C4" w:tentative="1">
      <w:start w:val="1"/>
      <w:numFmt w:val="bullet"/>
      <w:lvlText w:val="•"/>
      <w:lvlJc w:val="left"/>
      <w:pPr>
        <w:tabs>
          <w:tab w:val="num" w:pos="4320"/>
        </w:tabs>
        <w:ind w:left="4320" w:hanging="360"/>
      </w:pPr>
      <w:rPr>
        <w:rFonts w:ascii="Arial" w:hAnsi="Arial" w:hint="default"/>
      </w:rPr>
    </w:lvl>
    <w:lvl w:ilvl="6" w:tplc="B43CFD0C" w:tentative="1">
      <w:start w:val="1"/>
      <w:numFmt w:val="bullet"/>
      <w:lvlText w:val="•"/>
      <w:lvlJc w:val="left"/>
      <w:pPr>
        <w:tabs>
          <w:tab w:val="num" w:pos="5040"/>
        </w:tabs>
        <w:ind w:left="5040" w:hanging="360"/>
      </w:pPr>
      <w:rPr>
        <w:rFonts w:ascii="Arial" w:hAnsi="Arial" w:hint="default"/>
      </w:rPr>
    </w:lvl>
    <w:lvl w:ilvl="7" w:tplc="800CF076" w:tentative="1">
      <w:start w:val="1"/>
      <w:numFmt w:val="bullet"/>
      <w:lvlText w:val="•"/>
      <w:lvlJc w:val="left"/>
      <w:pPr>
        <w:tabs>
          <w:tab w:val="num" w:pos="5760"/>
        </w:tabs>
        <w:ind w:left="5760" w:hanging="360"/>
      </w:pPr>
      <w:rPr>
        <w:rFonts w:ascii="Arial" w:hAnsi="Arial" w:hint="default"/>
      </w:rPr>
    </w:lvl>
    <w:lvl w:ilvl="8" w:tplc="6FC672D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50A6479"/>
    <w:multiLevelType w:val="hybridMultilevel"/>
    <w:tmpl w:val="45F428A6"/>
    <w:lvl w:ilvl="0" w:tplc="B8E83110">
      <w:start w:val="1"/>
      <w:numFmt w:val="bullet"/>
      <w:lvlText w:val="•"/>
      <w:lvlJc w:val="left"/>
      <w:pPr>
        <w:tabs>
          <w:tab w:val="num" w:pos="720"/>
        </w:tabs>
        <w:ind w:left="720" w:hanging="360"/>
      </w:pPr>
      <w:rPr>
        <w:rFonts w:ascii="Arial" w:hAnsi="Arial" w:hint="default"/>
      </w:rPr>
    </w:lvl>
    <w:lvl w:ilvl="1" w:tplc="9B4C5D1A">
      <w:numFmt w:val="none"/>
      <w:lvlText w:val=""/>
      <w:lvlJc w:val="left"/>
      <w:pPr>
        <w:tabs>
          <w:tab w:val="num" w:pos="360"/>
        </w:tabs>
      </w:pPr>
    </w:lvl>
    <w:lvl w:ilvl="2" w:tplc="0ECC23F4" w:tentative="1">
      <w:start w:val="1"/>
      <w:numFmt w:val="bullet"/>
      <w:lvlText w:val="•"/>
      <w:lvlJc w:val="left"/>
      <w:pPr>
        <w:tabs>
          <w:tab w:val="num" w:pos="2160"/>
        </w:tabs>
        <w:ind w:left="2160" w:hanging="360"/>
      </w:pPr>
      <w:rPr>
        <w:rFonts w:ascii="Arial" w:hAnsi="Arial" w:hint="default"/>
      </w:rPr>
    </w:lvl>
    <w:lvl w:ilvl="3" w:tplc="D2FCBF28" w:tentative="1">
      <w:start w:val="1"/>
      <w:numFmt w:val="bullet"/>
      <w:lvlText w:val="•"/>
      <w:lvlJc w:val="left"/>
      <w:pPr>
        <w:tabs>
          <w:tab w:val="num" w:pos="2880"/>
        </w:tabs>
        <w:ind w:left="2880" w:hanging="360"/>
      </w:pPr>
      <w:rPr>
        <w:rFonts w:ascii="Arial" w:hAnsi="Arial" w:hint="default"/>
      </w:rPr>
    </w:lvl>
    <w:lvl w:ilvl="4" w:tplc="0AACBC80" w:tentative="1">
      <w:start w:val="1"/>
      <w:numFmt w:val="bullet"/>
      <w:lvlText w:val="•"/>
      <w:lvlJc w:val="left"/>
      <w:pPr>
        <w:tabs>
          <w:tab w:val="num" w:pos="3600"/>
        </w:tabs>
        <w:ind w:left="3600" w:hanging="360"/>
      </w:pPr>
      <w:rPr>
        <w:rFonts w:ascii="Arial" w:hAnsi="Arial" w:hint="default"/>
      </w:rPr>
    </w:lvl>
    <w:lvl w:ilvl="5" w:tplc="1CAEAC94" w:tentative="1">
      <w:start w:val="1"/>
      <w:numFmt w:val="bullet"/>
      <w:lvlText w:val="•"/>
      <w:lvlJc w:val="left"/>
      <w:pPr>
        <w:tabs>
          <w:tab w:val="num" w:pos="4320"/>
        </w:tabs>
        <w:ind w:left="4320" w:hanging="360"/>
      </w:pPr>
      <w:rPr>
        <w:rFonts w:ascii="Arial" w:hAnsi="Arial" w:hint="default"/>
      </w:rPr>
    </w:lvl>
    <w:lvl w:ilvl="6" w:tplc="4F222B30" w:tentative="1">
      <w:start w:val="1"/>
      <w:numFmt w:val="bullet"/>
      <w:lvlText w:val="•"/>
      <w:lvlJc w:val="left"/>
      <w:pPr>
        <w:tabs>
          <w:tab w:val="num" w:pos="5040"/>
        </w:tabs>
        <w:ind w:left="5040" w:hanging="360"/>
      </w:pPr>
      <w:rPr>
        <w:rFonts w:ascii="Arial" w:hAnsi="Arial" w:hint="default"/>
      </w:rPr>
    </w:lvl>
    <w:lvl w:ilvl="7" w:tplc="1D74575A" w:tentative="1">
      <w:start w:val="1"/>
      <w:numFmt w:val="bullet"/>
      <w:lvlText w:val="•"/>
      <w:lvlJc w:val="left"/>
      <w:pPr>
        <w:tabs>
          <w:tab w:val="num" w:pos="5760"/>
        </w:tabs>
        <w:ind w:left="5760" w:hanging="360"/>
      </w:pPr>
      <w:rPr>
        <w:rFonts w:ascii="Arial" w:hAnsi="Arial" w:hint="default"/>
      </w:rPr>
    </w:lvl>
    <w:lvl w:ilvl="8" w:tplc="9E720C0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E59"/>
    <w:rsid w:val="0008266D"/>
    <w:rsid w:val="000F24CC"/>
    <w:rsid w:val="00122470"/>
    <w:rsid w:val="00184F6C"/>
    <w:rsid w:val="001A3D57"/>
    <w:rsid w:val="001F63AC"/>
    <w:rsid w:val="00296C87"/>
    <w:rsid w:val="002E32C0"/>
    <w:rsid w:val="0033351F"/>
    <w:rsid w:val="003811BC"/>
    <w:rsid w:val="003A1410"/>
    <w:rsid w:val="003C6214"/>
    <w:rsid w:val="00402CD2"/>
    <w:rsid w:val="00403F01"/>
    <w:rsid w:val="00405F2B"/>
    <w:rsid w:val="0043682E"/>
    <w:rsid w:val="004643B2"/>
    <w:rsid w:val="00510E59"/>
    <w:rsid w:val="005A2B66"/>
    <w:rsid w:val="005C2201"/>
    <w:rsid w:val="006A3320"/>
    <w:rsid w:val="006B54FD"/>
    <w:rsid w:val="007C2CE1"/>
    <w:rsid w:val="0087391B"/>
    <w:rsid w:val="009D2CBA"/>
    <w:rsid w:val="00A16F5E"/>
    <w:rsid w:val="00A56066"/>
    <w:rsid w:val="00A70F9A"/>
    <w:rsid w:val="00B1063F"/>
    <w:rsid w:val="00BB2A88"/>
    <w:rsid w:val="00BB5B84"/>
    <w:rsid w:val="00C34E47"/>
    <w:rsid w:val="00E47C9C"/>
    <w:rsid w:val="00F07980"/>
    <w:rsid w:val="00F34779"/>
    <w:rsid w:val="00FB4DC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3532D"/>
  <w15:chartTrackingRefBased/>
  <w15:docId w15:val="{875883D0-D9F2-497E-9FFE-24CEA7F9D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E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A2B66"/>
    <w:pPr>
      <w:spacing w:after="200" w:line="240" w:lineRule="auto"/>
    </w:pPr>
    <w:rPr>
      <w:rFonts w:ascii="Times New Roman" w:hAnsi="Times New Roman"/>
      <w:i/>
      <w:iCs/>
      <w:color w:val="44546A" w:themeColor="text2"/>
      <w:szCs w:val="18"/>
    </w:rPr>
  </w:style>
  <w:style w:type="table" w:styleId="TableGrid">
    <w:name w:val="Table Grid"/>
    <w:basedOn w:val="TableNormal"/>
    <w:uiPriority w:val="39"/>
    <w:rsid w:val="00436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5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F2B"/>
    <w:rPr>
      <w:rFonts w:ascii="Segoe UI" w:hAnsi="Segoe UI" w:cs="Segoe UI"/>
      <w:sz w:val="18"/>
      <w:szCs w:val="18"/>
    </w:rPr>
  </w:style>
  <w:style w:type="character" w:styleId="Hyperlink">
    <w:name w:val="Hyperlink"/>
    <w:basedOn w:val="DefaultParagraphFont"/>
    <w:uiPriority w:val="99"/>
    <w:unhideWhenUsed/>
    <w:rsid w:val="009D2CBA"/>
    <w:rPr>
      <w:color w:val="0563C1" w:themeColor="hyperlink"/>
      <w:u w:val="single"/>
    </w:rPr>
  </w:style>
  <w:style w:type="character" w:customStyle="1" w:styleId="UnresolvedMention">
    <w:name w:val="Unresolved Mention"/>
    <w:basedOn w:val="DefaultParagraphFont"/>
    <w:uiPriority w:val="99"/>
    <w:semiHidden/>
    <w:unhideWhenUsed/>
    <w:rsid w:val="009D2CBA"/>
    <w:rPr>
      <w:color w:val="605E5C"/>
      <w:shd w:val="clear" w:color="auto" w:fill="E1DFDD"/>
    </w:rPr>
  </w:style>
  <w:style w:type="paragraph" w:customStyle="1" w:styleId="MDPI12title">
    <w:name w:val="MDPI_1.2_title"/>
    <w:next w:val="Normal"/>
    <w:qFormat/>
    <w:rsid w:val="00403F01"/>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51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smruconsulting.com/products-tools/pcod/pcod-project-outputs/online-expert-elicitation-cours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1330</Words>
  <Characters>8102</Characters>
  <Application>Microsoft Office Word</Application>
  <DocSecurity>0</DocSecurity>
  <Lines>192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Cormac Booth</dc:creator>
  <cp:keywords/>
  <dc:description/>
  <cp:lastModifiedBy>MDPI</cp:lastModifiedBy>
  <cp:revision>29</cp:revision>
  <dcterms:created xsi:type="dcterms:W3CDTF">2020-02-04T12:44:00Z</dcterms:created>
  <dcterms:modified xsi:type="dcterms:W3CDTF">2021-02-13T07:38:00Z</dcterms:modified>
</cp:coreProperties>
</file>