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215" w:rsidRDefault="00296846">
      <w:bookmarkStart w:id="0" w:name="_GoBack"/>
      <w:bookmarkEnd w:id="0"/>
      <w:r w:rsidRPr="00E3596C">
        <w:rPr>
          <w:b/>
        </w:rPr>
        <w:t xml:space="preserve">Table </w:t>
      </w:r>
      <w:r w:rsidR="004066A9">
        <w:rPr>
          <w:b/>
        </w:rPr>
        <w:t>S</w:t>
      </w:r>
      <w:r w:rsidRPr="00E3596C">
        <w:rPr>
          <w:b/>
        </w:rPr>
        <w:t xml:space="preserve">1. </w:t>
      </w:r>
      <w:r w:rsidRPr="00E3596C">
        <w:t>Comparisons per step in each algorithm’s pipeline. Columns refer to the process used during each step in the differential analysis pipeline. Rows indicate the specific algorithm. All pipelines begin with FASTQ files as inputs. “-” indicates a step not required in a particular algorithm.</w:t>
      </w:r>
    </w:p>
    <w:p w:rsidR="00296846" w:rsidRDefault="00296846"/>
    <w:tbl>
      <w:tblPr>
        <w:tblW w:w="9467" w:type="dxa"/>
        <w:tblBorders>
          <w:top w:val="single" w:sz="8" w:space="0" w:color="auto"/>
          <w:bottom w:val="single" w:sz="8" w:space="0" w:color="auto"/>
          <w:insideH w:val="single" w:sz="4" w:space="0" w:color="auto"/>
        </w:tblBorders>
        <w:tblLayout w:type="fixed"/>
        <w:tblCellMar>
          <w:left w:w="0" w:type="dxa"/>
          <w:right w:w="0" w:type="dxa"/>
        </w:tblCellMar>
        <w:tblLook w:val="04A0" w:firstRow="1" w:lastRow="0" w:firstColumn="1" w:lastColumn="0" w:noHBand="0" w:noVBand="1"/>
      </w:tblPr>
      <w:tblGrid>
        <w:gridCol w:w="1281"/>
        <w:gridCol w:w="1524"/>
        <w:gridCol w:w="1365"/>
        <w:gridCol w:w="2164"/>
        <w:gridCol w:w="1764"/>
        <w:gridCol w:w="1369"/>
      </w:tblGrid>
      <w:tr w:rsidR="00296846" w:rsidRPr="00E3596C" w:rsidTr="00296846">
        <w:trPr>
          <w:trHeight w:val="476"/>
        </w:trPr>
        <w:tc>
          <w:tcPr>
            <w:tcW w:w="1281" w:type="dxa"/>
            <w:tcBorders>
              <w:top w:val="single" w:sz="8" w:space="0" w:color="auto"/>
              <w:bottom w:val="single" w:sz="4" w:space="0" w:color="auto"/>
            </w:tcBorders>
            <w:shd w:val="clear" w:color="auto" w:fill="auto"/>
            <w:vAlign w:val="center"/>
          </w:tcPr>
          <w:p w:rsidR="00296846" w:rsidRPr="00E3596C" w:rsidRDefault="00296846" w:rsidP="00742E86">
            <w:pPr>
              <w:pStyle w:val="MDPI42tablebody"/>
              <w:autoSpaceDE w:val="0"/>
              <w:autoSpaceDN w:val="0"/>
              <w:rPr>
                <w:b/>
                <w:bCs/>
                <w:sz w:val="18"/>
                <w:szCs w:val="18"/>
              </w:rPr>
            </w:pPr>
          </w:p>
        </w:tc>
        <w:tc>
          <w:tcPr>
            <w:tcW w:w="1524" w:type="dxa"/>
            <w:tcBorders>
              <w:top w:val="single" w:sz="8" w:space="0" w:color="auto"/>
              <w:bottom w:val="single" w:sz="4" w:space="0" w:color="auto"/>
            </w:tcBorders>
            <w:shd w:val="clear" w:color="auto" w:fill="auto"/>
            <w:vAlign w:val="center"/>
          </w:tcPr>
          <w:p w:rsidR="00296846" w:rsidRPr="00E3596C" w:rsidRDefault="00296846" w:rsidP="00742E86">
            <w:pPr>
              <w:pStyle w:val="MDPI42tablebody"/>
              <w:autoSpaceDE w:val="0"/>
              <w:autoSpaceDN w:val="0"/>
              <w:rPr>
                <w:b/>
                <w:bCs/>
                <w:sz w:val="18"/>
                <w:szCs w:val="16"/>
              </w:rPr>
            </w:pPr>
            <w:r w:rsidRPr="00E3596C">
              <w:rPr>
                <w:b/>
                <w:bCs/>
                <w:sz w:val="18"/>
                <w:szCs w:val="16"/>
              </w:rPr>
              <w:t>Index Building and Alignment</w:t>
            </w:r>
          </w:p>
        </w:tc>
        <w:tc>
          <w:tcPr>
            <w:tcW w:w="1365" w:type="dxa"/>
            <w:tcBorders>
              <w:top w:val="single" w:sz="8" w:space="0" w:color="auto"/>
              <w:bottom w:val="single" w:sz="4" w:space="0" w:color="auto"/>
            </w:tcBorders>
            <w:shd w:val="clear" w:color="auto" w:fill="auto"/>
            <w:vAlign w:val="center"/>
            <w:hideMark/>
          </w:tcPr>
          <w:p w:rsidR="00296846" w:rsidRPr="00E3596C" w:rsidRDefault="00296846" w:rsidP="00742E86">
            <w:pPr>
              <w:pStyle w:val="MDPI42tablebody"/>
              <w:autoSpaceDE w:val="0"/>
              <w:autoSpaceDN w:val="0"/>
              <w:rPr>
                <w:b/>
                <w:bCs/>
                <w:sz w:val="18"/>
                <w:szCs w:val="16"/>
              </w:rPr>
            </w:pPr>
            <w:r w:rsidRPr="00E3596C">
              <w:rPr>
                <w:b/>
                <w:bCs/>
                <w:sz w:val="18"/>
                <w:szCs w:val="16"/>
              </w:rPr>
              <w:t>Get Read Counts</w:t>
            </w:r>
          </w:p>
        </w:tc>
        <w:tc>
          <w:tcPr>
            <w:tcW w:w="2164" w:type="dxa"/>
            <w:tcBorders>
              <w:top w:val="single" w:sz="8" w:space="0" w:color="auto"/>
              <w:bottom w:val="single" w:sz="4" w:space="0" w:color="auto"/>
            </w:tcBorders>
            <w:shd w:val="clear" w:color="auto" w:fill="auto"/>
            <w:vAlign w:val="center"/>
          </w:tcPr>
          <w:p w:rsidR="00296846" w:rsidRPr="00E3596C" w:rsidRDefault="00296846" w:rsidP="00742E86">
            <w:pPr>
              <w:pStyle w:val="MDPI42tablebody"/>
              <w:autoSpaceDE w:val="0"/>
              <w:autoSpaceDN w:val="0"/>
              <w:rPr>
                <w:b/>
                <w:bCs/>
                <w:sz w:val="18"/>
                <w:szCs w:val="16"/>
              </w:rPr>
            </w:pPr>
            <w:r w:rsidRPr="00E3596C">
              <w:rPr>
                <w:b/>
                <w:bCs/>
                <w:sz w:val="18"/>
                <w:szCs w:val="16"/>
              </w:rPr>
              <w:t>Formatting</w:t>
            </w:r>
          </w:p>
        </w:tc>
        <w:tc>
          <w:tcPr>
            <w:tcW w:w="1764" w:type="dxa"/>
            <w:tcBorders>
              <w:top w:val="single" w:sz="8" w:space="0" w:color="auto"/>
              <w:bottom w:val="single" w:sz="4" w:space="0" w:color="auto"/>
            </w:tcBorders>
            <w:shd w:val="clear" w:color="auto" w:fill="auto"/>
            <w:vAlign w:val="center"/>
          </w:tcPr>
          <w:p w:rsidR="00296846" w:rsidRPr="00E3596C" w:rsidRDefault="00296846" w:rsidP="00742E86">
            <w:pPr>
              <w:pStyle w:val="MDPI42tablebody"/>
              <w:autoSpaceDE w:val="0"/>
              <w:autoSpaceDN w:val="0"/>
              <w:rPr>
                <w:b/>
                <w:bCs/>
                <w:sz w:val="18"/>
                <w:szCs w:val="16"/>
              </w:rPr>
            </w:pPr>
            <w:r w:rsidRPr="00E3596C">
              <w:rPr>
                <w:b/>
                <w:bCs/>
                <w:sz w:val="18"/>
                <w:szCs w:val="16"/>
              </w:rPr>
              <w:t>Differential Analysis Method</w:t>
            </w:r>
          </w:p>
        </w:tc>
        <w:tc>
          <w:tcPr>
            <w:tcW w:w="1369" w:type="dxa"/>
            <w:tcBorders>
              <w:top w:val="single" w:sz="8" w:space="0" w:color="auto"/>
              <w:bottom w:val="single" w:sz="4" w:space="0" w:color="auto"/>
            </w:tcBorders>
            <w:shd w:val="clear" w:color="auto" w:fill="auto"/>
            <w:vAlign w:val="center"/>
          </w:tcPr>
          <w:p w:rsidR="00296846" w:rsidRPr="00E3596C" w:rsidRDefault="00296846" w:rsidP="00742E86">
            <w:pPr>
              <w:pStyle w:val="MDPI42tablebody"/>
              <w:autoSpaceDE w:val="0"/>
              <w:autoSpaceDN w:val="0"/>
              <w:rPr>
                <w:b/>
                <w:bCs/>
                <w:sz w:val="18"/>
                <w:szCs w:val="16"/>
              </w:rPr>
            </w:pPr>
            <w:r w:rsidRPr="00E3596C">
              <w:rPr>
                <w:b/>
                <w:bCs/>
                <w:sz w:val="18"/>
                <w:szCs w:val="16"/>
              </w:rPr>
              <w:t>Visualization</w:t>
            </w:r>
          </w:p>
        </w:tc>
      </w:tr>
      <w:tr w:rsidR="00296846" w:rsidRPr="00E3596C" w:rsidTr="00296846">
        <w:trPr>
          <w:trHeight w:val="2133"/>
        </w:trPr>
        <w:tc>
          <w:tcPr>
            <w:tcW w:w="1281" w:type="dxa"/>
            <w:tcBorders>
              <w:top w:val="single" w:sz="4" w:space="0" w:color="auto"/>
            </w:tcBorders>
            <w:shd w:val="clear" w:color="auto" w:fill="auto"/>
            <w:vAlign w:val="center"/>
            <w:hideMark/>
          </w:tcPr>
          <w:p w:rsidR="00296846" w:rsidRPr="00E3596C" w:rsidRDefault="00296846" w:rsidP="00742E86">
            <w:pPr>
              <w:pStyle w:val="MDPI42tablebody"/>
              <w:autoSpaceDE w:val="0"/>
              <w:autoSpaceDN w:val="0"/>
              <w:rPr>
                <w:b/>
                <w:sz w:val="18"/>
                <w:szCs w:val="16"/>
              </w:rPr>
            </w:pPr>
            <w:r w:rsidRPr="00E3596C">
              <w:rPr>
                <w:b/>
                <w:sz w:val="18"/>
                <w:szCs w:val="16"/>
              </w:rPr>
              <w:t>edgeR</w:t>
            </w:r>
          </w:p>
        </w:tc>
        <w:tc>
          <w:tcPr>
            <w:tcW w:w="1524" w:type="dxa"/>
            <w:vMerge w:val="restart"/>
            <w:tcBorders>
              <w:top w:val="single" w:sz="4" w:space="0" w:color="auto"/>
            </w:tcBorders>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STAR</w:t>
            </w:r>
          </w:p>
        </w:tc>
        <w:tc>
          <w:tcPr>
            <w:tcW w:w="1365" w:type="dxa"/>
            <w:tcBorders>
              <w:top w:val="single" w:sz="4" w:space="0" w:color="auto"/>
            </w:tcBorders>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featureCounts</w:t>
            </w:r>
          </w:p>
        </w:tc>
        <w:tc>
          <w:tcPr>
            <w:tcW w:w="2164" w:type="dxa"/>
            <w:tcBorders>
              <w:top w:val="single" w:sz="4" w:space="0" w:color="auto"/>
            </w:tcBorders>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1. Create DGE List</w:t>
            </w:r>
          </w:p>
          <w:p w:rsidR="00296846" w:rsidRPr="00E3596C" w:rsidRDefault="00296846" w:rsidP="00742E86">
            <w:pPr>
              <w:pStyle w:val="MDPI42tablebody"/>
              <w:autoSpaceDE w:val="0"/>
              <w:autoSpaceDN w:val="0"/>
              <w:rPr>
                <w:sz w:val="18"/>
                <w:szCs w:val="16"/>
              </w:rPr>
            </w:pPr>
            <w:r w:rsidRPr="00E3596C">
              <w:rPr>
                <w:sz w:val="18"/>
                <w:szCs w:val="16"/>
              </w:rPr>
              <w:t>2. Filter and normalize</w:t>
            </w:r>
          </w:p>
          <w:p w:rsidR="00296846" w:rsidRPr="00E3596C" w:rsidRDefault="00296846" w:rsidP="00742E86">
            <w:pPr>
              <w:pStyle w:val="MDPI42tablebody"/>
              <w:autoSpaceDE w:val="0"/>
              <w:autoSpaceDN w:val="0"/>
              <w:rPr>
                <w:sz w:val="18"/>
                <w:szCs w:val="16"/>
              </w:rPr>
            </w:pPr>
            <w:r w:rsidRPr="00E3596C">
              <w:rPr>
                <w:sz w:val="18"/>
                <w:szCs w:val="16"/>
              </w:rPr>
              <w:t>3. Create a design matrix</w:t>
            </w:r>
          </w:p>
          <w:p w:rsidR="00296846" w:rsidRPr="00E3596C" w:rsidRDefault="00296846" w:rsidP="00742E86">
            <w:pPr>
              <w:pStyle w:val="MDPI42tablebody"/>
              <w:autoSpaceDE w:val="0"/>
              <w:autoSpaceDN w:val="0"/>
              <w:rPr>
                <w:sz w:val="18"/>
                <w:szCs w:val="16"/>
              </w:rPr>
            </w:pPr>
            <w:r w:rsidRPr="00E3596C">
              <w:rPr>
                <w:sz w:val="18"/>
                <w:szCs w:val="16"/>
              </w:rPr>
              <w:t>4. Fit dispersion model</w:t>
            </w:r>
          </w:p>
          <w:p w:rsidR="00296846" w:rsidRPr="00E3596C" w:rsidRDefault="00296846" w:rsidP="00742E86">
            <w:pPr>
              <w:pStyle w:val="MDPI42tablebody"/>
              <w:autoSpaceDE w:val="0"/>
              <w:autoSpaceDN w:val="0"/>
              <w:rPr>
                <w:sz w:val="18"/>
                <w:szCs w:val="16"/>
              </w:rPr>
            </w:pPr>
            <w:r w:rsidRPr="00E3596C">
              <w:rPr>
                <w:sz w:val="18"/>
                <w:szCs w:val="16"/>
              </w:rPr>
              <w:t>5. Run diffSpliceDGE</w:t>
            </w:r>
          </w:p>
          <w:p w:rsidR="00296846" w:rsidRPr="00E3596C" w:rsidRDefault="00296846" w:rsidP="00742E86">
            <w:pPr>
              <w:pStyle w:val="MDPI42tablebody"/>
              <w:autoSpaceDE w:val="0"/>
              <w:autoSpaceDN w:val="0"/>
              <w:rPr>
                <w:sz w:val="18"/>
                <w:szCs w:val="16"/>
              </w:rPr>
            </w:pPr>
          </w:p>
        </w:tc>
        <w:tc>
          <w:tcPr>
            <w:tcW w:w="1764" w:type="dxa"/>
            <w:tcBorders>
              <w:top w:val="single" w:sz="4" w:space="0" w:color="auto"/>
            </w:tcBorders>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 xml:space="preserve">Differential Exon </w:t>
            </w:r>
          </w:p>
          <w:p w:rsidR="00296846" w:rsidRPr="00E3596C" w:rsidRDefault="00296846" w:rsidP="00742E86">
            <w:pPr>
              <w:pStyle w:val="MDPI42tablebody"/>
              <w:autoSpaceDE w:val="0"/>
              <w:autoSpaceDN w:val="0"/>
              <w:rPr>
                <w:sz w:val="18"/>
                <w:szCs w:val="16"/>
              </w:rPr>
            </w:pPr>
            <w:r w:rsidRPr="00E3596C">
              <w:rPr>
                <w:sz w:val="18"/>
                <w:szCs w:val="16"/>
              </w:rPr>
              <w:t>Expression</w:t>
            </w:r>
          </w:p>
        </w:tc>
        <w:tc>
          <w:tcPr>
            <w:tcW w:w="1369" w:type="dxa"/>
            <w:tcBorders>
              <w:top w:val="single" w:sz="4" w:space="0" w:color="auto"/>
            </w:tcBorders>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Exon LogFoldChanges</w:t>
            </w:r>
          </w:p>
        </w:tc>
      </w:tr>
      <w:tr w:rsidR="00296846" w:rsidRPr="00E3596C" w:rsidTr="00296846">
        <w:trPr>
          <w:trHeight w:val="2854"/>
        </w:trPr>
        <w:tc>
          <w:tcPr>
            <w:tcW w:w="1281" w:type="dxa"/>
            <w:shd w:val="clear" w:color="auto" w:fill="auto"/>
            <w:vAlign w:val="center"/>
          </w:tcPr>
          <w:p w:rsidR="00296846" w:rsidRPr="00E3596C" w:rsidRDefault="00296846" w:rsidP="00742E86">
            <w:pPr>
              <w:pStyle w:val="MDPI42tablebody"/>
              <w:autoSpaceDE w:val="0"/>
              <w:autoSpaceDN w:val="0"/>
              <w:rPr>
                <w:b/>
                <w:sz w:val="18"/>
                <w:szCs w:val="16"/>
              </w:rPr>
            </w:pPr>
          </w:p>
          <w:p w:rsidR="00296846" w:rsidRPr="00E3596C" w:rsidRDefault="00296846" w:rsidP="00742E86">
            <w:pPr>
              <w:pStyle w:val="MDPI42tablebody"/>
              <w:autoSpaceDE w:val="0"/>
              <w:autoSpaceDN w:val="0"/>
              <w:rPr>
                <w:b/>
                <w:sz w:val="18"/>
                <w:szCs w:val="16"/>
              </w:rPr>
            </w:pPr>
            <w:r w:rsidRPr="00E3596C">
              <w:rPr>
                <w:b/>
                <w:sz w:val="18"/>
                <w:szCs w:val="16"/>
              </w:rPr>
              <w:t>FRASER</w:t>
            </w:r>
          </w:p>
          <w:p w:rsidR="00296846" w:rsidRPr="00E3596C" w:rsidRDefault="00296846" w:rsidP="00742E86">
            <w:pPr>
              <w:pStyle w:val="MDPI42tablebody"/>
              <w:autoSpaceDE w:val="0"/>
              <w:autoSpaceDN w:val="0"/>
              <w:rPr>
                <w:b/>
                <w:sz w:val="18"/>
                <w:szCs w:val="16"/>
              </w:rPr>
            </w:pPr>
          </w:p>
        </w:tc>
        <w:tc>
          <w:tcPr>
            <w:tcW w:w="1524" w:type="dxa"/>
            <w:vMerge/>
            <w:shd w:val="clear" w:color="auto" w:fill="auto"/>
            <w:vAlign w:val="center"/>
          </w:tcPr>
          <w:p w:rsidR="00296846" w:rsidRPr="00E3596C" w:rsidRDefault="00296846" w:rsidP="00742E86">
            <w:pPr>
              <w:pStyle w:val="MDPI42tablebody"/>
              <w:autoSpaceDE w:val="0"/>
              <w:autoSpaceDN w:val="0"/>
              <w:rPr>
                <w:sz w:val="18"/>
                <w:szCs w:val="16"/>
              </w:rPr>
            </w:pPr>
          </w:p>
        </w:tc>
        <w:tc>
          <w:tcPr>
            <w:tcW w:w="1365"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Rsubread</w:t>
            </w:r>
          </w:p>
          <w:p w:rsidR="00296846" w:rsidRPr="00E3596C" w:rsidRDefault="00296846" w:rsidP="00742E86">
            <w:pPr>
              <w:pStyle w:val="MDPI42tablebody"/>
              <w:autoSpaceDE w:val="0"/>
              <w:autoSpaceDN w:val="0"/>
              <w:rPr>
                <w:sz w:val="18"/>
                <w:szCs w:val="16"/>
              </w:rPr>
            </w:pPr>
            <w:r w:rsidRPr="00E3596C">
              <w:rPr>
                <w:sz w:val="18"/>
                <w:szCs w:val="16"/>
              </w:rPr>
              <w:t>countRNAData</w:t>
            </w:r>
          </w:p>
        </w:tc>
        <w:tc>
          <w:tcPr>
            <w:tcW w:w="2164" w:type="dxa"/>
            <w:shd w:val="clear" w:color="auto" w:fill="auto"/>
            <w:vAlign w:val="center"/>
          </w:tcPr>
          <w:p w:rsidR="005B7733" w:rsidRDefault="005B7733" w:rsidP="00742E86">
            <w:pPr>
              <w:pStyle w:val="MDPI42tablebody"/>
              <w:autoSpaceDE w:val="0"/>
              <w:autoSpaceDN w:val="0"/>
              <w:rPr>
                <w:sz w:val="18"/>
                <w:szCs w:val="16"/>
              </w:rPr>
            </w:pPr>
          </w:p>
          <w:p w:rsidR="005B7733" w:rsidRDefault="005B7733"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r w:rsidRPr="00E3596C">
              <w:rPr>
                <w:sz w:val="18"/>
                <w:szCs w:val="16"/>
              </w:rPr>
              <w:t xml:space="preserve">1. </w:t>
            </w:r>
            <w:r w:rsidR="00735298">
              <w:rPr>
                <w:sz w:val="18"/>
                <w:szCs w:val="16"/>
              </w:rPr>
              <w:t>Edit FRASER settings</w:t>
            </w:r>
          </w:p>
          <w:p w:rsidR="00296846" w:rsidRPr="00E3596C" w:rsidRDefault="00296846" w:rsidP="00742E86">
            <w:pPr>
              <w:pStyle w:val="MDPI42tablebody"/>
              <w:autoSpaceDE w:val="0"/>
              <w:autoSpaceDN w:val="0"/>
              <w:rPr>
                <w:sz w:val="18"/>
                <w:szCs w:val="16"/>
              </w:rPr>
            </w:pPr>
            <w:r w:rsidRPr="00E3596C">
              <w:rPr>
                <w:sz w:val="18"/>
                <w:szCs w:val="16"/>
              </w:rPr>
              <w:t xml:space="preserve">2. </w:t>
            </w:r>
            <w:r w:rsidR="00735298">
              <w:rPr>
                <w:sz w:val="18"/>
                <w:szCs w:val="16"/>
              </w:rPr>
              <w:t>Create sample tables</w:t>
            </w:r>
          </w:p>
          <w:p w:rsidR="00296846" w:rsidRPr="00E3596C" w:rsidRDefault="00296846" w:rsidP="00742E86">
            <w:pPr>
              <w:pStyle w:val="MDPI42tablebody"/>
              <w:autoSpaceDE w:val="0"/>
              <w:autoSpaceDN w:val="0"/>
              <w:rPr>
                <w:sz w:val="18"/>
                <w:szCs w:val="16"/>
              </w:rPr>
            </w:pPr>
            <w:r w:rsidRPr="00E3596C">
              <w:rPr>
                <w:sz w:val="18"/>
                <w:szCs w:val="16"/>
              </w:rPr>
              <w:t>3. Calculate PSI</w:t>
            </w:r>
          </w:p>
          <w:p w:rsidR="00296846" w:rsidRPr="00E3596C" w:rsidRDefault="00296846" w:rsidP="00742E86">
            <w:pPr>
              <w:pStyle w:val="MDPI42tablebody"/>
              <w:autoSpaceDE w:val="0"/>
              <w:autoSpaceDN w:val="0"/>
              <w:rPr>
                <w:sz w:val="18"/>
                <w:szCs w:val="16"/>
              </w:rPr>
            </w:pPr>
            <w:r w:rsidRPr="00E3596C">
              <w:rPr>
                <w:sz w:val="18"/>
                <w:szCs w:val="16"/>
              </w:rPr>
              <w:t>4. Filter expression and variability</w:t>
            </w:r>
          </w:p>
          <w:p w:rsidR="00296846" w:rsidRPr="00E3596C" w:rsidRDefault="00296846" w:rsidP="00742E86">
            <w:pPr>
              <w:pStyle w:val="MDPI42tablebody"/>
              <w:autoSpaceDE w:val="0"/>
              <w:autoSpaceDN w:val="0"/>
              <w:rPr>
                <w:sz w:val="18"/>
                <w:szCs w:val="16"/>
              </w:rPr>
            </w:pPr>
            <w:r w:rsidRPr="00E3596C">
              <w:rPr>
                <w:sz w:val="18"/>
                <w:szCs w:val="16"/>
              </w:rPr>
              <w:t>5. Calculate hyperparameters</w:t>
            </w:r>
          </w:p>
          <w:p w:rsidR="00296846" w:rsidRDefault="00296846" w:rsidP="00742E86">
            <w:pPr>
              <w:pStyle w:val="MDPI42tablebody"/>
              <w:autoSpaceDE w:val="0"/>
              <w:autoSpaceDN w:val="0"/>
              <w:rPr>
                <w:sz w:val="18"/>
                <w:szCs w:val="16"/>
              </w:rPr>
            </w:pPr>
            <w:r w:rsidRPr="00E3596C">
              <w:rPr>
                <w:sz w:val="18"/>
                <w:szCs w:val="16"/>
              </w:rPr>
              <w:t>6. Run FRASER function</w:t>
            </w:r>
          </w:p>
          <w:p w:rsidR="00356085" w:rsidRPr="00E3596C" w:rsidRDefault="00356085" w:rsidP="00742E86">
            <w:pPr>
              <w:pStyle w:val="MDPI42tablebody"/>
              <w:autoSpaceDE w:val="0"/>
              <w:autoSpaceDN w:val="0"/>
              <w:rPr>
                <w:sz w:val="18"/>
                <w:szCs w:val="16"/>
              </w:rPr>
            </w:pPr>
            <w:r>
              <w:rPr>
                <w:sz w:val="18"/>
                <w:szCs w:val="16"/>
              </w:rPr>
              <w:t>7. Annotate Events</w:t>
            </w:r>
          </w:p>
          <w:p w:rsidR="00296846" w:rsidRPr="00E3596C" w:rsidRDefault="00296846"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p>
        </w:tc>
        <w:tc>
          <w:tcPr>
            <w:tcW w:w="1764"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Outlier Analytics</w:t>
            </w:r>
          </w:p>
        </w:tc>
        <w:tc>
          <w:tcPr>
            <w:tcW w:w="1369"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Volcano Plots</w:t>
            </w:r>
          </w:p>
        </w:tc>
      </w:tr>
      <w:tr w:rsidR="00296846" w:rsidRPr="00E3596C" w:rsidTr="00296846">
        <w:trPr>
          <w:trHeight w:val="2379"/>
        </w:trPr>
        <w:tc>
          <w:tcPr>
            <w:tcW w:w="1281" w:type="dxa"/>
            <w:shd w:val="clear" w:color="auto" w:fill="auto"/>
            <w:vAlign w:val="center"/>
            <w:hideMark/>
          </w:tcPr>
          <w:p w:rsidR="00296846" w:rsidRPr="00E3596C" w:rsidRDefault="00296846" w:rsidP="00742E86">
            <w:pPr>
              <w:pStyle w:val="MDPI42tablebody"/>
              <w:autoSpaceDE w:val="0"/>
              <w:autoSpaceDN w:val="0"/>
              <w:rPr>
                <w:b/>
                <w:sz w:val="18"/>
                <w:szCs w:val="16"/>
              </w:rPr>
            </w:pPr>
          </w:p>
          <w:p w:rsidR="00296846" w:rsidRPr="00E3596C" w:rsidRDefault="00296846" w:rsidP="00742E86">
            <w:pPr>
              <w:pStyle w:val="MDPI42tablebody"/>
              <w:autoSpaceDE w:val="0"/>
              <w:autoSpaceDN w:val="0"/>
              <w:rPr>
                <w:b/>
                <w:sz w:val="18"/>
                <w:szCs w:val="16"/>
              </w:rPr>
            </w:pPr>
            <w:r w:rsidRPr="00E3596C">
              <w:rPr>
                <w:b/>
                <w:sz w:val="18"/>
                <w:szCs w:val="16"/>
              </w:rPr>
              <w:t>Leafcutter</w:t>
            </w:r>
          </w:p>
          <w:p w:rsidR="00296846" w:rsidRPr="00E3596C" w:rsidRDefault="00296846" w:rsidP="00742E86">
            <w:pPr>
              <w:pStyle w:val="MDPI42tablebody"/>
              <w:autoSpaceDE w:val="0"/>
              <w:autoSpaceDN w:val="0"/>
              <w:rPr>
                <w:b/>
                <w:sz w:val="18"/>
                <w:szCs w:val="16"/>
              </w:rPr>
            </w:pPr>
            <w:r w:rsidRPr="00E3596C">
              <w:rPr>
                <w:b/>
                <w:sz w:val="18"/>
                <w:szCs w:val="16"/>
              </w:rPr>
              <w:t>LeafcutterMD</w:t>
            </w:r>
          </w:p>
          <w:p w:rsidR="00296846" w:rsidRPr="00E3596C" w:rsidRDefault="00296846" w:rsidP="00742E86">
            <w:pPr>
              <w:pStyle w:val="MDPI42tablebody"/>
              <w:autoSpaceDE w:val="0"/>
              <w:autoSpaceDN w:val="0"/>
              <w:rPr>
                <w:b/>
                <w:sz w:val="18"/>
                <w:szCs w:val="16"/>
              </w:rPr>
            </w:pPr>
          </w:p>
        </w:tc>
        <w:tc>
          <w:tcPr>
            <w:tcW w:w="1524" w:type="dxa"/>
            <w:vMerge/>
            <w:shd w:val="clear" w:color="auto" w:fill="auto"/>
            <w:vAlign w:val="center"/>
          </w:tcPr>
          <w:p w:rsidR="00296846" w:rsidRPr="00E3596C" w:rsidRDefault="00296846" w:rsidP="00742E86">
            <w:pPr>
              <w:pStyle w:val="MDPI42tablebody"/>
              <w:autoSpaceDE w:val="0"/>
              <w:autoSpaceDN w:val="0"/>
              <w:rPr>
                <w:sz w:val="18"/>
                <w:szCs w:val="16"/>
              </w:rPr>
            </w:pPr>
          </w:p>
        </w:tc>
        <w:tc>
          <w:tcPr>
            <w:tcW w:w="1365" w:type="dxa"/>
            <w:shd w:val="clear" w:color="auto" w:fill="auto"/>
            <w:vAlign w:val="center"/>
          </w:tcPr>
          <w:p w:rsidR="00296846" w:rsidRPr="00E3596C" w:rsidRDefault="00296846" w:rsidP="00742E86">
            <w:pPr>
              <w:pStyle w:val="MDPI42tablebody"/>
              <w:autoSpaceDE w:val="0"/>
              <w:autoSpaceDN w:val="0"/>
              <w:rPr>
                <w:b/>
                <w:sz w:val="18"/>
                <w:szCs w:val="48"/>
              </w:rPr>
            </w:pPr>
            <w:r w:rsidRPr="00E3596C">
              <w:rPr>
                <w:b/>
                <w:sz w:val="18"/>
                <w:szCs w:val="48"/>
              </w:rPr>
              <w:t>-</w:t>
            </w:r>
          </w:p>
        </w:tc>
        <w:tc>
          <w:tcPr>
            <w:tcW w:w="2164"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1. Index BAM files</w:t>
            </w:r>
          </w:p>
          <w:p w:rsidR="00296846" w:rsidRPr="00E3596C" w:rsidRDefault="00296846" w:rsidP="00742E86">
            <w:pPr>
              <w:pStyle w:val="MDPI42tablebody"/>
              <w:autoSpaceDE w:val="0"/>
              <w:autoSpaceDN w:val="0"/>
              <w:rPr>
                <w:sz w:val="18"/>
                <w:szCs w:val="16"/>
              </w:rPr>
            </w:pPr>
            <w:r w:rsidRPr="00E3596C">
              <w:rPr>
                <w:sz w:val="18"/>
                <w:szCs w:val="16"/>
              </w:rPr>
              <w:t>2. Convert BAM to JUNC</w:t>
            </w:r>
          </w:p>
          <w:p w:rsidR="00296846" w:rsidRPr="00E3596C" w:rsidRDefault="00296846" w:rsidP="00742E86">
            <w:pPr>
              <w:pStyle w:val="MDPI42tablebody"/>
              <w:autoSpaceDE w:val="0"/>
              <w:autoSpaceDN w:val="0"/>
              <w:rPr>
                <w:sz w:val="18"/>
                <w:szCs w:val="16"/>
              </w:rPr>
            </w:pPr>
            <w:r w:rsidRPr="00E3596C">
              <w:rPr>
                <w:sz w:val="18"/>
                <w:szCs w:val="16"/>
              </w:rPr>
              <w:t>3. Run intron clustering</w:t>
            </w:r>
          </w:p>
          <w:p w:rsidR="00296846" w:rsidRPr="00E3596C" w:rsidRDefault="00296846" w:rsidP="00742E86">
            <w:pPr>
              <w:pStyle w:val="MDPI42tablebody"/>
              <w:autoSpaceDE w:val="0"/>
              <w:autoSpaceDN w:val="0"/>
              <w:rPr>
                <w:sz w:val="18"/>
                <w:szCs w:val="16"/>
              </w:rPr>
            </w:pPr>
            <w:r w:rsidRPr="00E3596C">
              <w:rPr>
                <w:sz w:val="18"/>
                <w:szCs w:val="16"/>
              </w:rPr>
              <w:t>4. Create groups file</w:t>
            </w:r>
          </w:p>
          <w:p w:rsidR="00296846" w:rsidRPr="00E3596C" w:rsidRDefault="00296846" w:rsidP="00742E86">
            <w:pPr>
              <w:pStyle w:val="MDPI42tablebody"/>
              <w:autoSpaceDE w:val="0"/>
              <w:autoSpaceDN w:val="0"/>
              <w:rPr>
                <w:sz w:val="18"/>
                <w:szCs w:val="16"/>
              </w:rPr>
            </w:pPr>
            <w:r w:rsidRPr="00E3596C">
              <w:rPr>
                <w:sz w:val="18"/>
                <w:szCs w:val="16"/>
              </w:rPr>
              <w:t>5. Run differential splicing / outlier splicing</w:t>
            </w:r>
          </w:p>
          <w:p w:rsidR="00296846" w:rsidRPr="00E3596C" w:rsidRDefault="00296846" w:rsidP="00742E86">
            <w:pPr>
              <w:pStyle w:val="MDPI42tablebody"/>
              <w:autoSpaceDE w:val="0"/>
              <w:autoSpaceDN w:val="0"/>
              <w:rPr>
                <w:sz w:val="18"/>
                <w:szCs w:val="16"/>
              </w:rPr>
            </w:pPr>
          </w:p>
        </w:tc>
        <w:tc>
          <w:tcPr>
            <w:tcW w:w="1764"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 xml:space="preserve">Differential Intron </w:t>
            </w:r>
          </w:p>
          <w:p w:rsidR="00296846" w:rsidRPr="00E3596C" w:rsidRDefault="00296846" w:rsidP="00742E86">
            <w:pPr>
              <w:pStyle w:val="MDPI42tablebody"/>
              <w:autoSpaceDE w:val="0"/>
              <w:autoSpaceDN w:val="0"/>
              <w:rPr>
                <w:sz w:val="18"/>
                <w:szCs w:val="16"/>
              </w:rPr>
            </w:pPr>
            <w:r w:rsidRPr="00E3596C">
              <w:rPr>
                <w:sz w:val="18"/>
                <w:szCs w:val="16"/>
              </w:rPr>
              <w:t>Exclusion /</w:t>
            </w:r>
          </w:p>
          <w:p w:rsidR="00296846" w:rsidRPr="00E3596C" w:rsidRDefault="00296846" w:rsidP="00742E86">
            <w:pPr>
              <w:pStyle w:val="MDPI42tablebody"/>
              <w:autoSpaceDE w:val="0"/>
              <w:autoSpaceDN w:val="0"/>
              <w:rPr>
                <w:sz w:val="18"/>
                <w:szCs w:val="16"/>
              </w:rPr>
            </w:pPr>
            <w:r w:rsidRPr="00E3596C">
              <w:rPr>
                <w:sz w:val="18"/>
                <w:szCs w:val="16"/>
              </w:rPr>
              <w:t>Outlier Analytics</w:t>
            </w:r>
          </w:p>
        </w:tc>
        <w:tc>
          <w:tcPr>
            <w:tcW w:w="1369"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Splice Plots</w:t>
            </w:r>
          </w:p>
        </w:tc>
      </w:tr>
      <w:tr w:rsidR="00296846" w:rsidRPr="00E3596C" w:rsidTr="00296846">
        <w:trPr>
          <w:trHeight w:val="1657"/>
        </w:trPr>
        <w:tc>
          <w:tcPr>
            <w:tcW w:w="1281" w:type="dxa"/>
            <w:shd w:val="clear" w:color="auto" w:fill="auto"/>
            <w:vAlign w:val="center"/>
            <w:hideMark/>
          </w:tcPr>
          <w:p w:rsidR="00296846" w:rsidRPr="00E3596C" w:rsidRDefault="00296846" w:rsidP="00742E86">
            <w:pPr>
              <w:pStyle w:val="MDPI42tablebody"/>
              <w:autoSpaceDE w:val="0"/>
              <w:autoSpaceDN w:val="0"/>
              <w:rPr>
                <w:b/>
                <w:sz w:val="18"/>
                <w:szCs w:val="16"/>
              </w:rPr>
            </w:pPr>
            <w:r w:rsidRPr="00E3596C">
              <w:rPr>
                <w:b/>
                <w:sz w:val="18"/>
                <w:szCs w:val="16"/>
              </w:rPr>
              <w:t>OutSplice</w:t>
            </w:r>
          </w:p>
        </w:tc>
        <w:tc>
          <w:tcPr>
            <w:tcW w:w="1524" w:type="dxa"/>
            <w:vMerge/>
            <w:shd w:val="clear" w:color="auto" w:fill="auto"/>
            <w:vAlign w:val="center"/>
          </w:tcPr>
          <w:p w:rsidR="00296846" w:rsidRPr="00E3596C" w:rsidRDefault="00296846" w:rsidP="00742E86">
            <w:pPr>
              <w:pStyle w:val="MDPI42tablebody"/>
              <w:autoSpaceDE w:val="0"/>
              <w:autoSpaceDN w:val="0"/>
              <w:rPr>
                <w:sz w:val="18"/>
                <w:szCs w:val="16"/>
              </w:rPr>
            </w:pPr>
          </w:p>
        </w:tc>
        <w:tc>
          <w:tcPr>
            <w:tcW w:w="1365" w:type="dxa"/>
            <w:shd w:val="clear" w:color="auto" w:fill="auto"/>
            <w:vAlign w:val="center"/>
          </w:tcPr>
          <w:p w:rsidR="00296846" w:rsidRPr="00E3596C" w:rsidRDefault="00296846"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r w:rsidRPr="00E3596C">
              <w:rPr>
                <w:sz w:val="18"/>
                <w:szCs w:val="16"/>
              </w:rPr>
              <w:t>RSEM</w:t>
            </w:r>
          </w:p>
          <w:p w:rsidR="00296846" w:rsidRPr="00E3596C" w:rsidRDefault="00296846" w:rsidP="00742E86">
            <w:pPr>
              <w:pStyle w:val="MDPI42tablebody"/>
              <w:autoSpaceDE w:val="0"/>
              <w:autoSpaceDN w:val="0"/>
              <w:rPr>
                <w:sz w:val="18"/>
                <w:szCs w:val="16"/>
              </w:rPr>
            </w:pPr>
            <w:r w:rsidRPr="00E3596C">
              <w:rPr>
                <w:sz w:val="18"/>
                <w:szCs w:val="16"/>
              </w:rPr>
              <w:t>SJ.out.tab</w:t>
            </w:r>
          </w:p>
          <w:p w:rsidR="00296846" w:rsidRPr="00E3596C" w:rsidRDefault="00296846" w:rsidP="00742E86">
            <w:pPr>
              <w:pStyle w:val="MDPI42tablebody"/>
              <w:autoSpaceDE w:val="0"/>
              <w:autoSpaceDN w:val="0"/>
              <w:rPr>
                <w:sz w:val="18"/>
                <w:szCs w:val="16"/>
              </w:rPr>
            </w:pPr>
            <w:r w:rsidRPr="00E3596C">
              <w:rPr>
                <w:sz w:val="18"/>
                <w:szCs w:val="16"/>
              </w:rPr>
              <w:t>Log.final.out</w:t>
            </w:r>
          </w:p>
          <w:p w:rsidR="00296846" w:rsidRPr="00E3596C" w:rsidRDefault="00296846" w:rsidP="00742E86">
            <w:pPr>
              <w:pStyle w:val="MDPI42tablebody"/>
              <w:autoSpaceDE w:val="0"/>
              <w:autoSpaceDN w:val="0"/>
              <w:rPr>
                <w:sz w:val="18"/>
                <w:szCs w:val="16"/>
              </w:rPr>
            </w:pPr>
          </w:p>
        </w:tc>
        <w:tc>
          <w:tcPr>
            <w:tcW w:w="2164" w:type="dxa"/>
            <w:shd w:val="clear" w:color="auto" w:fill="auto"/>
            <w:vAlign w:val="center"/>
          </w:tcPr>
          <w:p w:rsidR="003C69E3" w:rsidRDefault="003C69E3" w:rsidP="00742E86">
            <w:pPr>
              <w:pStyle w:val="MDPI42tablebody"/>
              <w:autoSpaceDE w:val="0"/>
              <w:autoSpaceDN w:val="0"/>
              <w:rPr>
                <w:sz w:val="18"/>
                <w:szCs w:val="16"/>
              </w:rPr>
            </w:pPr>
          </w:p>
          <w:p w:rsidR="003C69E3" w:rsidRDefault="003C69E3"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r w:rsidRPr="00E3596C">
              <w:rPr>
                <w:sz w:val="18"/>
                <w:szCs w:val="16"/>
              </w:rPr>
              <w:t>1. Specify Groups</w:t>
            </w:r>
          </w:p>
          <w:p w:rsidR="00296846" w:rsidRPr="00E3596C" w:rsidRDefault="00296846" w:rsidP="00742E86">
            <w:pPr>
              <w:pStyle w:val="MDPI42tablebody"/>
              <w:autoSpaceDE w:val="0"/>
              <w:autoSpaceDN w:val="0"/>
              <w:rPr>
                <w:sz w:val="18"/>
                <w:szCs w:val="16"/>
              </w:rPr>
            </w:pPr>
            <w:r w:rsidRPr="00E3596C">
              <w:rPr>
                <w:sz w:val="18"/>
                <w:szCs w:val="16"/>
              </w:rPr>
              <w:t>2. Run OutSplice Formatter</w:t>
            </w:r>
          </w:p>
          <w:p w:rsidR="00296846" w:rsidRPr="00E3596C" w:rsidRDefault="00296846" w:rsidP="00742E86">
            <w:pPr>
              <w:pStyle w:val="MDPI42tablebody"/>
              <w:autoSpaceDE w:val="0"/>
              <w:autoSpaceDN w:val="0"/>
              <w:rPr>
                <w:sz w:val="18"/>
                <w:szCs w:val="16"/>
              </w:rPr>
            </w:pPr>
            <w:r w:rsidRPr="00E3596C">
              <w:rPr>
                <w:sz w:val="18"/>
                <w:szCs w:val="16"/>
              </w:rPr>
              <w:t>3. Run outSpliceAnalysis</w:t>
            </w:r>
          </w:p>
          <w:p w:rsidR="00296846" w:rsidRPr="00E3596C" w:rsidRDefault="00296846"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p>
        </w:tc>
        <w:tc>
          <w:tcPr>
            <w:tcW w:w="1764"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Outlier Analytics</w:t>
            </w:r>
          </w:p>
        </w:tc>
        <w:tc>
          <w:tcPr>
            <w:tcW w:w="1369"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Waterfall Plots of Expression</w:t>
            </w:r>
          </w:p>
        </w:tc>
      </w:tr>
      <w:tr w:rsidR="00296846" w:rsidRPr="00E3596C" w:rsidTr="00867D94">
        <w:trPr>
          <w:trHeight w:val="1427"/>
        </w:trPr>
        <w:tc>
          <w:tcPr>
            <w:tcW w:w="1281" w:type="dxa"/>
            <w:shd w:val="clear" w:color="auto" w:fill="auto"/>
            <w:vAlign w:val="center"/>
          </w:tcPr>
          <w:p w:rsidR="00296846" w:rsidRPr="00E3596C" w:rsidRDefault="00296846" w:rsidP="00742E86">
            <w:pPr>
              <w:pStyle w:val="MDPI42tablebody"/>
              <w:autoSpaceDE w:val="0"/>
              <w:autoSpaceDN w:val="0"/>
              <w:rPr>
                <w:b/>
                <w:sz w:val="18"/>
                <w:szCs w:val="16"/>
              </w:rPr>
            </w:pPr>
            <w:r w:rsidRPr="00E3596C">
              <w:rPr>
                <w:b/>
                <w:sz w:val="18"/>
                <w:szCs w:val="16"/>
              </w:rPr>
              <w:lastRenderedPageBreak/>
              <w:t>psichomics</w:t>
            </w:r>
          </w:p>
        </w:tc>
        <w:tc>
          <w:tcPr>
            <w:tcW w:w="1524" w:type="dxa"/>
            <w:vMerge/>
            <w:tcBorders>
              <w:bottom w:val="nil"/>
            </w:tcBorders>
            <w:shd w:val="clear" w:color="auto" w:fill="auto"/>
            <w:vAlign w:val="center"/>
          </w:tcPr>
          <w:p w:rsidR="00296846" w:rsidRPr="00E3596C" w:rsidRDefault="00296846" w:rsidP="00742E86">
            <w:pPr>
              <w:pStyle w:val="MDPI42tablebody"/>
              <w:autoSpaceDE w:val="0"/>
              <w:autoSpaceDN w:val="0"/>
              <w:rPr>
                <w:sz w:val="18"/>
                <w:szCs w:val="16"/>
              </w:rPr>
            </w:pPr>
          </w:p>
        </w:tc>
        <w:tc>
          <w:tcPr>
            <w:tcW w:w="1365"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SJ.out.tab</w:t>
            </w:r>
          </w:p>
        </w:tc>
        <w:tc>
          <w:tcPr>
            <w:tcW w:w="2164" w:type="dxa"/>
            <w:shd w:val="clear" w:color="auto" w:fill="auto"/>
            <w:vAlign w:val="center"/>
          </w:tcPr>
          <w:p w:rsidR="00A6031F" w:rsidRDefault="00A6031F"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r w:rsidRPr="00E3596C">
              <w:rPr>
                <w:sz w:val="18"/>
                <w:szCs w:val="16"/>
              </w:rPr>
              <w:t>1. prepareJunctionquant</w:t>
            </w:r>
          </w:p>
          <w:p w:rsidR="00296846" w:rsidRPr="00E3596C" w:rsidRDefault="00296846" w:rsidP="00742E86">
            <w:pPr>
              <w:pStyle w:val="MDPI42tablebody"/>
              <w:autoSpaceDE w:val="0"/>
              <w:autoSpaceDN w:val="0"/>
              <w:rPr>
                <w:sz w:val="18"/>
                <w:szCs w:val="16"/>
              </w:rPr>
            </w:pPr>
            <w:r w:rsidRPr="00E3596C">
              <w:rPr>
                <w:sz w:val="18"/>
                <w:szCs w:val="16"/>
              </w:rPr>
              <w:t>2. Get junction annotations</w:t>
            </w:r>
          </w:p>
          <w:p w:rsidR="00296846" w:rsidRPr="00E3596C" w:rsidRDefault="00296846" w:rsidP="00742E86">
            <w:pPr>
              <w:pStyle w:val="MDPI42tablebody"/>
              <w:autoSpaceDE w:val="0"/>
              <w:autoSpaceDN w:val="0"/>
              <w:rPr>
                <w:sz w:val="18"/>
                <w:szCs w:val="16"/>
              </w:rPr>
            </w:pPr>
            <w:r w:rsidRPr="00E3596C">
              <w:rPr>
                <w:sz w:val="18"/>
                <w:szCs w:val="16"/>
              </w:rPr>
              <w:t>3. Quantification function</w:t>
            </w:r>
          </w:p>
          <w:p w:rsidR="00296846" w:rsidRPr="00E3596C" w:rsidRDefault="00296846" w:rsidP="00742E86">
            <w:pPr>
              <w:pStyle w:val="MDPI42tablebody"/>
              <w:autoSpaceDE w:val="0"/>
              <w:autoSpaceDN w:val="0"/>
              <w:rPr>
                <w:sz w:val="18"/>
                <w:szCs w:val="16"/>
              </w:rPr>
            </w:pPr>
            <w:r w:rsidRPr="00E3596C">
              <w:rPr>
                <w:sz w:val="18"/>
                <w:szCs w:val="16"/>
              </w:rPr>
              <w:t>4. Group data</w:t>
            </w:r>
          </w:p>
          <w:p w:rsidR="00296846" w:rsidRPr="00E3596C" w:rsidRDefault="00296846" w:rsidP="00742E86">
            <w:pPr>
              <w:pStyle w:val="MDPI42tablebody"/>
              <w:autoSpaceDE w:val="0"/>
              <w:autoSpaceDN w:val="0"/>
              <w:rPr>
                <w:sz w:val="18"/>
                <w:szCs w:val="16"/>
              </w:rPr>
            </w:pPr>
            <w:r w:rsidRPr="00E3596C">
              <w:rPr>
                <w:sz w:val="18"/>
                <w:szCs w:val="16"/>
              </w:rPr>
              <w:t>5. Run diffAnalyses</w:t>
            </w:r>
          </w:p>
          <w:p w:rsidR="00296846" w:rsidRPr="00E3596C" w:rsidRDefault="00296846" w:rsidP="00742E86">
            <w:pPr>
              <w:pStyle w:val="MDPI42tablebody"/>
              <w:autoSpaceDE w:val="0"/>
              <w:autoSpaceDN w:val="0"/>
              <w:rPr>
                <w:sz w:val="18"/>
                <w:szCs w:val="16"/>
              </w:rPr>
            </w:pPr>
          </w:p>
        </w:tc>
        <w:tc>
          <w:tcPr>
            <w:tcW w:w="1764"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Differential Exon Inclusion</w:t>
            </w:r>
          </w:p>
        </w:tc>
        <w:tc>
          <w:tcPr>
            <w:tcW w:w="1369"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Percent spliced in Distribution Plots</w:t>
            </w:r>
          </w:p>
        </w:tc>
      </w:tr>
      <w:tr w:rsidR="00867D94" w:rsidRPr="00E3596C" w:rsidTr="00867D94">
        <w:trPr>
          <w:trHeight w:val="1427"/>
        </w:trPr>
        <w:tc>
          <w:tcPr>
            <w:tcW w:w="1281" w:type="dxa"/>
            <w:shd w:val="clear" w:color="auto" w:fill="auto"/>
            <w:vAlign w:val="center"/>
          </w:tcPr>
          <w:p w:rsidR="00867D94" w:rsidRPr="00E3596C" w:rsidRDefault="00867D94" w:rsidP="00742E86">
            <w:pPr>
              <w:pStyle w:val="MDPI42tablebody"/>
              <w:autoSpaceDE w:val="0"/>
              <w:autoSpaceDN w:val="0"/>
              <w:rPr>
                <w:b/>
                <w:sz w:val="18"/>
                <w:szCs w:val="16"/>
              </w:rPr>
            </w:pPr>
            <w:r>
              <w:rPr>
                <w:b/>
                <w:sz w:val="18"/>
                <w:szCs w:val="16"/>
              </w:rPr>
              <w:t>rMATS</w:t>
            </w:r>
          </w:p>
        </w:tc>
        <w:tc>
          <w:tcPr>
            <w:tcW w:w="1524" w:type="dxa"/>
            <w:tcBorders>
              <w:top w:val="nil"/>
              <w:bottom w:val="nil"/>
            </w:tcBorders>
            <w:shd w:val="clear" w:color="auto" w:fill="auto"/>
            <w:vAlign w:val="center"/>
          </w:tcPr>
          <w:p w:rsidR="00867D94" w:rsidRPr="00867D94" w:rsidRDefault="00867D94" w:rsidP="00742E86">
            <w:pPr>
              <w:pStyle w:val="MDPI42tablebody"/>
              <w:autoSpaceDE w:val="0"/>
              <w:autoSpaceDN w:val="0"/>
              <w:rPr>
                <w:b/>
                <w:sz w:val="18"/>
                <w:szCs w:val="16"/>
              </w:rPr>
            </w:pPr>
          </w:p>
        </w:tc>
        <w:tc>
          <w:tcPr>
            <w:tcW w:w="1365" w:type="dxa"/>
            <w:shd w:val="clear" w:color="auto" w:fill="auto"/>
            <w:vAlign w:val="center"/>
          </w:tcPr>
          <w:p w:rsidR="00867D94" w:rsidRPr="00E3596C" w:rsidRDefault="00DD3209" w:rsidP="00742E86">
            <w:pPr>
              <w:pStyle w:val="MDPI42tablebody"/>
              <w:autoSpaceDE w:val="0"/>
              <w:autoSpaceDN w:val="0"/>
              <w:rPr>
                <w:b/>
                <w:sz w:val="18"/>
                <w:szCs w:val="48"/>
              </w:rPr>
            </w:pPr>
            <w:r w:rsidRPr="00E3596C">
              <w:rPr>
                <w:b/>
                <w:sz w:val="18"/>
                <w:szCs w:val="48"/>
              </w:rPr>
              <w:t>-</w:t>
            </w:r>
          </w:p>
        </w:tc>
        <w:tc>
          <w:tcPr>
            <w:tcW w:w="2164" w:type="dxa"/>
            <w:shd w:val="clear" w:color="auto" w:fill="auto"/>
            <w:vAlign w:val="center"/>
          </w:tcPr>
          <w:p w:rsidR="00867D94" w:rsidRDefault="00DD3209" w:rsidP="00742E86">
            <w:pPr>
              <w:pStyle w:val="MDPI42tablebody"/>
              <w:autoSpaceDE w:val="0"/>
              <w:autoSpaceDN w:val="0"/>
              <w:rPr>
                <w:sz w:val="18"/>
                <w:szCs w:val="16"/>
              </w:rPr>
            </w:pPr>
            <w:r>
              <w:rPr>
                <w:sz w:val="18"/>
                <w:szCs w:val="16"/>
              </w:rPr>
              <w:t>1. Create Groups Text File</w:t>
            </w:r>
          </w:p>
          <w:p w:rsidR="00DD3209" w:rsidRPr="00E3596C" w:rsidRDefault="00DD3209" w:rsidP="00742E86">
            <w:pPr>
              <w:pStyle w:val="MDPI42tablebody"/>
              <w:autoSpaceDE w:val="0"/>
              <w:autoSpaceDN w:val="0"/>
              <w:rPr>
                <w:sz w:val="18"/>
                <w:szCs w:val="16"/>
              </w:rPr>
            </w:pPr>
            <w:r>
              <w:rPr>
                <w:sz w:val="18"/>
                <w:szCs w:val="16"/>
              </w:rPr>
              <w:t>2. Run rMATs function</w:t>
            </w:r>
          </w:p>
        </w:tc>
        <w:tc>
          <w:tcPr>
            <w:tcW w:w="1764" w:type="dxa"/>
            <w:shd w:val="clear" w:color="auto" w:fill="auto"/>
            <w:vAlign w:val="center"/>
          </w:tcPr>
          <w:p w:rsidR="00867D94" w:rsidRPr="00E3596C" w:rsidRDefault="00DD3209" w:rsidP="00742E86">
            <w:pPr>
              <w:pStyle w:val="MDPI42tablebody"/>
              <w:autoSpaceDE w:val="0"/>
              <w:autoSpaceDN w:val="0"/>
              <w:rPr>
                <w:sz w:val="18"/>
                <w:szCs w:val="16"/>
              </w:rPr>
            </w:pPr>
            <w:r>
              <w:rPr>
                <w:sz w:val="18"/>
                <w:szCs w:val="16"/>
              </w:rPr>
              <w:t>Differential Exon Inclusion</w:t>
            </w:r>
          </w:p>
        </w:tc>
        <w:tc>
          <w:tcPr>
            <w:tcW w:w="1369" w:type="dxa"/>
            <w:shd w:val="clear" w:color="auto" w:fill="auto"/>
            <w:vAlign w:val="center"/>
          </w:tcPr>
          <w:p w:rsidR="00867D94" w:rsidRPr="00E3596C" w:rsidRDefault="00DD3209" w:rsidP="00742E86">
            <w:pPr>
              <w:pStyle w:val="MDPI42tablebody"/>
              <w:autoSpaceDE w:val="0"/>
              <w:autoSpaceDN w:val="0"/>
              <w:rPr>
                <w:sz w:val="18"/>
                <w:szCs w:val="16"/>
              </w:rPr>
            </w:pPr>
            <w:r w:rsidRPr="00E3596C">
              <w:rPr>
                <w:b/>
                <w:sz w:val="18"/>
                <w:szCs w:val="48"/>
              </w:rPr>
              <w:t>-</w:t>
            </w:r>
          </w:p>
        </w:tc>
      </w:tr>
      <w:tr w:rsidR="00296846" w:rsidRPr="00E3596C" w:rsidTr="00867D94">
        <w:trPr>
          <w:trHeight w:val="1427"/>
        </w:trPr>
        <w:tc>
          <w:tcPr>
            <w:tcW w:w="1281" w:type="dxa"/>
            <w:shd w:val="clear" w:color="auto" w:fill="auto"/>
            <w:vAlign w:val="center"/>
          </w:tcPr>
          <w:p w:rsidR="00296846" w:rsidRPr="00E3596C" w:rsidRDefault="00296846" w:rsidP="00742E86">
            <w:pPr>
              <w:pStyle w:val="MDPI42tablebody"/>
              <w:autoSpaceDE w:val="0"/>
              <w:autoSpaceDN w:val="0"/>
              <w:rPr>
                <w:b/>
                <w:sz w:val="18"/>
                <w:szCs w:val="16"/>
              </w:rPr>
            </w:pPr>
            <w:r w:rsidRPr="00E3596C">
              <w:rPr>
                <w:b/>
                <w:sz w:val="18"/>
                <w:szCs w:val="16"/>
              </w:rPr>
              <w:t>Whippet</w:t>
            </w:r>
          </w:p>
        </w:tc>
        <w:tc>
          <w:tcPr>
            <w:tcW w:w="1524" w:type="dxa"/>
            <w:tcBorders>
              <w:top w:val="nil"/>
            </w:tcBorders>
            <w:shd w:val="clear" w:color="auto" w:fill="auto"/>
            <w:vAlign w:val="center"/>
          </w:tcPr>
          <w:p w:rsidR="00296846" w:rsidRPr="00E3596C" w:rsidRDefault="00296846"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r w:rsidRPr="00E3596C">
              <w:rPr>
                <w:sz w:val="18"/>
                <w:szCs w:val="16"/>
              </w:rPr>
              <w:t xml:space="preserve">Whippet Index </w:t>
            </w:r>
          </w:p>
          <w:p w:rsidR="00296846" w:rsidRPr="00E3596C" w:rsidRDefault="00296846" w:rsidP="00742E86">
            <w:pPr>
              <w:pStyle w:val="MDPI42tablebody"/>
              <w:autoSpaceDE w:val="0"/>
              <w:autoSpaceDN w:val="0"/>
              <w:rPr>
                <w:sz w:val="18"/>
                <w:szCs w:val="16"/>
              </w:rPr>
            </w:pPr>
            <w:r w:rsidRPr="00E3596C">
              <w:rPr>
                <w:sz w:val="18"/>
                <w:szCs w:val="16"/>
              </w:rPr>
              <w:t xml:space="preserve">+ </w:t>
            </w:r>
          </w:p>
          <w:p w:rsidR="00296846" w:rsidRPr="00E3596C" w:rsidRDefault="00296846" w:rsidP="00742E86">
            <w:pPr>
              <w:pStyle w:val="MDPI42tablebody"/>
              <w:autoSpaceDE w:val="0"/>
              <w:autoSpaceDN w:val="0"/>
              <w:rPr>
                <w:sz w:val="18"/>
                <w:szCs w:val="16"/>
              </w:rPr>
            </w:pPr>
            <w:r w:rsidRPr="00E3596C">
              <w:rPr>
                <w:sz w:val="18"/>
                <w:szCs w:val="16"/>
              </w:rPr>
              <w:t>Quantification Function</w:t>
            </w:r>
          </w:p>
          <w:p w:rsidR="00296846" w:rsidRPr="00E3596C" w:rsidRDefault="00296846" w:rsidP="00742E86">
            <w:pPr>
              <w:pStyle w:val="MDPI42tablebody"/>
              <w:autoSpaceDE w:val="0"/>
              <w:autoSpaceDN w:val="0"/>
              <w:rPr>
                <w:sz w:val="18"/>
                <w:szCs w:val="16"/>
              </w:rPr>
            </w:pPr>
          </w:p>
        </w:tc>
        <w:tc>
          <w:tcPr>
            <w:tcW w:w="1365" w:type="dxa"/>
            <w:shd w:val="clear" w:color="auto" w:fill="auto"/>
            <w:vAlign w:val="center"/>
          </w:tcPr>
          <w:p w:rsidR="00296846" w:rsidRPr="00E3596C" w:rsidRDefault="00296846" w:rsidP="00742E86">
            <w:pPr>
              <w:pStyle w:val="MDPI42tablebody"/>
              <w:autoSpaceDE w:val="0"/>
              <w:autoSpaceDN w:val="0"/>
              <w:rPr>
                <w:b/>
                <w:sz w:val="18"/>
                <w:szCs w:val="48"/>
              </w:rPr>
            </w:pPr>
            <w:r w:rsidRPr="00E3596C">
              <w:rPr>
                <w:b/>
                <w:sz w:val="18"/>
                <w:szCs w:val="48"/>
              </w:rPr>
              <w:t>-</w:t>
            </w:r>
          </w:p>
        </w:tc>
        <w:tc>
          <w:tcPr>
            <w:tcW w:w="2164" w:type="dxa"/>
            <w:shd w:val="clear" w:color="auto" w:fill="auto"/>
            <w:vAlign w:val="center"/>
          </w:tcPr>
          <w:p w:rsidR="00E04119" w:rsidRDefault="00E04119" w:rsidP="00742E86">
            <w:pPr>
              <w:pStyle w:val="MDPI42tablebody"/>
              <w:autoSpaceDE w:val="0"/>
              <w:autoSpaceDN w:val="0"/>
              <w:rPr>
                <w:sz w:val="18"/>
                <w:szCs w:val="16"/>
              </w:rPr>
            </w:pPr>
          </w:p>
          <w:p w:rsidR="00E04119" w:rsidRDefault="00E04119" w:rsidP="00742E86">
            <w:pPr>
              <w:pStyle w:val="MDPI42tablebody"/>
              <w:autoSpaceDE w:val="0"/>
              <w:autoSpaceDN w:val="0"/>
              <w:rPr>
                <w:sz w:val="18"/>
                <w:szCs w:val="16"/>
              </w:rPr>
            </w:pPr>
          </w:p>
          <w:p w:rsidR="00E04119" w:rsidRDefault="00E04119"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r w:rsidRPr="00E3596C">
              <w:rPr>
                <w:sz w:val="18"/>
                <w:szCs w:val="16"/>
              </w:rPr>
              <w:t>1. Specify groups</w:t>
            </w:r>
          </w:p>
          <w:p w:rsidR="00296846" w:rsidRPr="00E3596C" w:rsidRDefault="00296846" w:rsidP="00742E86">
            <w:pPr>
              <w:pStyle w:val="MDPI42tablebody"/>
              <w:autoSpaceDE w:val="0"/>
              <w:autoSpaceDN w:val="0"/>
              <w:rPr>
                <w:sz w:val="18"/>
                <w:szCs w:val="16"/>
              </w:rPr>
            </w:pPr>
            <w:r w:rsidRPr="00E3596C">
              <w:rPr>
                <w:sz w:val="18"/>
                <w:szCs w:val="16"/>
              </w:rPr>
              <w:t>2. Run delta function</w:t>
            </w:r>
          </w:p>
          <w:p w:rsidR="00296846" w:rsidRPr="00E3596C" w:rsidRDefault="00296846"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p>
          <w:p w:rsidR="00296846" w:rsidRPr="00E3596C" w:rsidRDefault="00296846" w:rsidP="00742E86">
            <w:pPr>
              <w:pStyle w:val="MDPI42tablebody"/>
              <w:autoSpaceDE w:val="0"/>
              <w:autoSpaceDN w:val="0"/>
              <w:rPr>
                <w:sz w:val="18"/>
                <w:szCs w:val="16"/>
              </w:rPr>
            </w:pPr>
          </w:p>
        </w:tc>
        <w:tc>
          <w:tcPr>
            <w:tcW w:w="1764"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PSI Splice Graph</w:t>
            </w:r>
          </w:p>
          <w:p w:rsidR="00296846" w:rsidRPr="00E3596C" w:rsidRDefault="00296846" w:rsidP="00742E86">
            <w:pPr>
              <w:pStyle w:val="MDPI42tablebody"/>
              <w:autoSpaceDE w:val="0"/>
              <w:autoSpaceDN w:val="0"/>
              <w:rPr>
                <w:sz w:val="18"/>
                <w:szCs w:val="16"/>
              </w:rPr>
            </w:pPr>
            <w:r w:rsidRPr="00E3596C">
              <w:rPr>
                <w:sz w:val="18"/>
                <w:szCs w:val="16"/>
              </w:rPr>
              <w:t xml:space="preserve"> Comparisons</w:t>
            </w:r>
          </w:p>
        </w:tc>
        <w:tc>
          <w:tcPr>
            <w:tcW w:w="1369" w:type="dxa"/>
            <w:shd w:val="clear" w:color="auto" w:fill="auto"/>
            <w:vAlign w:val="center"/>
          </w:tcPr>
          <w:p w:rsidR="00296846" w:rsidRPr="00E3596C" w:rsidRDefault="00296846" w:rsidP="00742E86">
            <w:pPr>
              <w:pStyle w:val="MDPI42tablebody"/>
              <w:autoSpaceDE w:val="0"/>
              <w:autoSpaceDN w:val="0"/>
              <w:rPr>
                <w:sz w:val="18"/>
                <w:szCs w:val="16"/>
              </w:rPr>
            </w:pPr>
            <w:r w:rsidRPr="00E3596C">
              <w:rPr>
                <w:sz w:val="18"/>
                <w:szCs w:val="16"/>
              </w:rPr>
              <w:t>Interactive Genomics Viewer</w:t>
            </w:r>
          </w:p>
        </w:tc>
      </w:tr>
    </w:tbl>
    <w:p w:rsidR="00296846" w:rsidRDefault="00296846"/>
    <w:sectPr w:rsidR="00296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846"/>
    <w:rsid w:val="00047E3C"/>
    <w:rsid w:val="00296846"/>
    <w:rsid w:val="00356085"/>
    <w:rsid w:val="003C69E3"/>
    <w:rsid w:val="004066A9"/>
    <w:rsid w:val="005B7733"/>
    <w:rsid w:val="00735298"/>
    <w:rsid w:val="00867D94"/>
    <w:rsid w:val="00915215"/>
    <w:rsid w:val="00A6031F"/>
    <w:rsid w:val="00DD3209"/>
    <w:rsid w:val="00E04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CD468-6747-4156-A045-894201B09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42tablebody">
    <w:name w:val="MDPI_4.2_table_body"/>
    <w:qFormat/>
    <w:rsid w:val="00296846"/>
    <w:pPr>
      <w:adjustRightInd w:val="0"/>
      <w:snapToGrid w:val="0"/>
      <w:spacing w:after="0" w:line="240" w:lineRule="auto"/>
      <w:jc w:val="center"/>
    </w:pPr>
    <w:rPr>
      <w:rFonts w:ascii="Palatino Linotype" w:eastAsia="Times New Roman" w:hAnsi="Palatino Linotype" w:cs="Times New Roman"/>
      <w:snapToGrid w:val="0"/>
      <w:color w:val="000000"/>
      <w:sz w:val="20"/>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Bendik, Joseph</dc:creator>
  <cp:keywords/>
  <dc:description/>
  <cp:lastModifiedBy>Bendik, Joseph</cp:lastModifiedBy>
  <cp:revision>25</cp:revision>
  <dcterms:created xsi:type="dcterms:W3CDTF">2023-08-25T20:15:00Z</dcterms:created>
  <dcterms:modified xsi:type="dcterms:W3CDTF">2023-09-27T01:50:00Z</dcterms:modified>
</cp:coreProperties>
</file>